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Isle of Man Country Report</w:t>
      </w:r>
    </w:p>
    <w:bookmarkStart w:id="75" w:name="introduction"/>
    <w:p>
      <w:pPr>
        <w:pStyle w:val="Heading1"/>
      </w:pPr>
      <w:r>
        <w:t xml:space="preserve">Introduction</w:t>
      </w:r>
    </w:p>
    <w:p>
      <w:pPr>
        <w:pStyle w:val="FirstParagraph"/>
      </w:pPr>
      <w:r>
        <w:t xml:space="preserve">Isle of Man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Isle of Man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Isle of Man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Isle of Man received a score of 12.8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Isle of Man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Isle of Man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Isle of Man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Isle of Man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Isle of Man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Isle of Man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Isle of Man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Isle of Man received a score of 0.2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Isle of Man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Isle of Man received a score of 0.1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Isle of Man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Isle of Man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Isle of Man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Isle of Man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Isle of Man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Isle of Man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2025-11-25T06:41:26Z</dcterms:created>
  <dcterms:modified xsi:type="dcterms:W3CDTF">2025-11-25T06:41:26Z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Isle of Man Country Report</vt:lpwstr>
  </property>
  <property fmtid="{D5CDD505-2E9C-101B-9397-08002B2CF9AE}" pid="10" name="toc-title">
    <vt:lpwstr>Table of contents</vt:lpwstr>
  </property>
</Properties>
</file>