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Lebanon Country Report</w:t>
      </w:r>
    </w:p>
    <w:bookmarkStart w:id="75" w:name="introduction"/>
    <w:p>
      <w:pPr>
        <w:pStyle w:val="Heading1"/>
      </w:pPr>
      <w:r>
        <w:t xml:space="preserve">Introduction</w:t>
      </w:r>
    </w:p>
    <w:p>
      <w:pPr>
        <w:pStyle w:val="FirstParagraph"/>
      </w:pPr>
      <w:r>
        <w:t xml:space="preserve">Lebanon received a score of 57.8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Lebanon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Lebanon received a score of</w:t>
      </w:r>
      <w:r>
        <w:t xml:space="preserve"> </w:t>
      </w:r>
      <w:r>
        <w:rPr>
          <w:b/>
          <w:bCs/>
        </w:rPr>
        <w:t xml:space="preserve">62.8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Lebanon received a score of 63.1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Lebanon received a score of 48.1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Lebanon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Lebanon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Lebanon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Lebanon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Lebanon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Lebanon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Lebanon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Lebanon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Lebanon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Lebanon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Lebanon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Lebanon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Lebanon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Lebanon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2004, 2011, 2022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2000, 2005, 2006, 2011, 2017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Lebanon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2025-11-25T03:12:03Z</dcterms:created>
  <dcterms:modified xsi:type="dcterms:W3CDTF">2025-11-25T03:12:03Z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Lebanon Country Report</vt:lpwstr>
  </property>
  <property fmtid="{D5CDD505-2E9C-101B-9397-08002B2CF9AE}" pid="10" name="toc-title">
    <vt:lpwstr>Table of contents</vt:lpwstr>
  </property>
</Properties>
</file>