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Liechtenstein Country Report</w:t>
      </w:r>
    </w:p>
    <w:bookmarkStart w:id="75" w:name="introduction"/>
    <w:p>
      <w:pPr>
        <w:pStyle w:val="Heading1"/>
      </w:pPr>
      <w:r>
        <w:t xml:space="preserve">Introduction</w:t>
      </w:r>
    </w:p>
    <w:p>
      <w:pPr>
        <w:pStyle w:val="FirstParagraph"/>
      </w:pPr>
      <w:r>
        <w:t xml:space="preserve">Liechtenstein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Liechtenstein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Liechtenstein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Liechtenstein received a score of 39.8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Liechtenstein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Liechtenstein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Liechtenstein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Liechtenstein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Liechtenstein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Liechtenstein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Liechtenstein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Liechtenstein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Liechtenstein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Liechtenstein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Liechtenstein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Liechtenstein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Liechtenstein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Liechtenstein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Liechtenstein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Liechtenstein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2025-11-25T06:48:11Z</dcterms:created>
  <dcterms:modified xsi:type="dcterms:W3CDTF">2025-11-25T06:48:11Z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Liechtenstein Country Report</vt:lpwstr>
  </property>
  <property fmtid="{D5CDD505-2E9C-101B-9397-08002B2CF9AE}" pid="10" name="toc-title">
    <vt:lpwstr>Table of contents</vt:lpwstr>
  </property>
</Properties>
</file>