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Seychelles Country Report</w:t>
      </w:r>
    </w:p>
    <w:bookmarkStart w:id="75" w:name="introduction"/>
    <w:p>
      <w:pPr>
        <w:pStyle w:val="Heading1"/>
      </w:pPr>
      <w:r>
        <w:t xml:space="preserve">Introduction</w:t>
      </w:r>
    </w:p>
    <w:p>
      <w:pPr>
        <w:pStyle w:val="FirstParagraph"/>
      </w:pPr>
      <w:r>
        <w:t xml:space="preserve">Seychelles received a score of 64.5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Seychelles received a score of 90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Seychelles received a score of</w:t>
      </w:r>
      <w:r>
        <w:t xml:space="preserve"> </w:t>
      </w:r>
      <w:r>
        <w:rPr>
          <w:b/>
          <w:bCs/>
        </w:rPr>
        <w:t xml:space="preserve">48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Seychelles received a score of 56.7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Seychelles received a score of 58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Seychelles received a score of 70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Seychelles received a score of 0.9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Seychelles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Seychelles received a score of 0.4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Seychelles received a score of 0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Seychelles received a score of 0.5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Seychelles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Seychelles received a score of 0.3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Seychelles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Seychelles received a score of 0.4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Seychelles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Seychelles received a score of 0.5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Seychelles received a score of 0.7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Seychelles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1997,2002,2010,2022</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2002,2011</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1999, 2000, 2006, 2013, 2018</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2014, 2015, 2016, 2017, 2018, 2019, 2020, 2023, 2024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Seychelles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2025-11-25T06:01:48Z</dcterms:created>
  <dcterms:modified xsi:type="dcterms:W3CDTF">2025-11-25T06:01:48Z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Seychelles Country Report</vt:lpwstr>
  </property>
  <property fmtid="{D5CDD505-2E9C-101B-9397-08002B2CF9AE}" pid="10" name="toc-title">
    <vt:lpwstr>Table of contents</vt:lpwstr>
  </property>
</Properties>
</file>