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Slovak Republic Country Report</w:t>
      </w:r>
    </w:p>
    <w:bookmarkStart w:id="75" w:name="introduction"/>
    <w:p>
      <w:pPr>
        <w:pStyle w:val="Heading1"/>
      </w:pPr>
      <w:r>
        <w:t xml:space="preserve">Introduction</w:t>
      </w:r>
    </w:p>
    <w:p>
      <w:pPr>
        <w:pStyle w:val="FirstParagraph"/>
      </w:pPr>
      <w:r>
        <w:t xml:space="preserve">Slovak Republic received a score of 83.3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Slovak Republic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Slovak Republic received a score of</w:t>
      </w:r>
      <w:r>
        <w:t xml:space="preserve"> </w:t>
      </w:r>
      <w:r>
        <w:rPr>
          <w:b/>
          <w:bCs/>
        </w:rPr>
        <w:t xml:space="preserve">95.1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Slovak Republic received a score of 81.6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Slovak Republic received a score of 79.6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Slovak Republic received a score of 70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Slovak Republic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Slovak Republic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Slovak Republic received a score of 0.9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Slovak Republic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Slovak Republic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Slovak Republic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Slovak Republic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Slovak Republic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Slovak Republic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Slovak Republic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Slovak Republic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Slovak Republic received a score of 0.7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Slovak Republic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2001,2010,2020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1992, 1996, 2004, 2005, 2006, 2007, 2008, 2009, 2010, 2011, 2012, 2013, 2014, 2015, 2016, 2017, 2018, 2019, 2020, 2021, 2022, 2023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2003, 2005, 2007, 2013, 2016, 2020</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1998, 1999, 2000, 2001, 2002, 2003, 2004, 2005, 2006, 2007, 2008, 2009, 2010, 2011, 2012, 2013, 2014, 2015, 2016, 2017, 2018, 2019, 2020, 2021, 2022, 2023, 2024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2009, 2014, 2019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Slovak Republic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2025-11-25T07:06:55Z</dcterms:created>
  <dcterms:modified xsi:type="dcterms:W3CDTF">2025-11-25T07:06:55Z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Slovak Republic Country Report</vt:lpwstr>
  </property>
  <property fmtid="{D5CDD505-2E9C-101B-9397-08002B2CF9AE}" pid="10" name="toc-title">
    <vt:lpwstr>Table of contents</vt:lpwstr>
  </property>
</Properties>
</file>