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St. Vincent and the Grenadines Country Report</w:t>
      </w:r>
    </w:p>
    <w:bookmarkStart w:id="75" w:name="introduction"/>
    <w:p>
      <w:pPr>
        <w:pStyle w:val="Heading1"/>
      </w:pPr>
      <w:r>
        <w:t xml:space="preserve">Introduction</w:t>
      </w:r>
    </w:p>
    <w:p>
      <w:pPr>
        <w:pStyle w:val="FirstParagraph"/>
      </w:pPr>
      <w:r>
        <w:t xml:space="preserve">St. Vincent and the Grenadines received a score of 52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St. Vincent and the Grenadines received a score of 50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St. Vincent and the Grenadines received a score of</w:t>
      </w:r>
      <w:r>
        <w:t xml:space="preserve"> </w:t>
      </w:r>
      <w:r>
        <w:rPr>
          <w:b/>
          <w:bCs/>
        </w:rPr>
        <w:t xml:space="preserve">66.3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St. Vincent and the Grenadines received a score of 55.2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St. Vincent and the Grenadines received a score of 48.3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St. Vincent and the Grenadines received a score of 40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St. Vincent and the Grenadines received a score of 0.5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St. Vincent and the Grenadines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St. Vincent and the Grenadines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St. Vincent and the Grenadines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St. Vincent and the Grenadines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St. Vincent and the Grenadines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St. Vincent and the Grenadines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St. Vincent and the Grenadines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St. Vincent and the Grenadines received a score of 0.2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St. Vincent and the Grenadines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St. Vincent and the Grenadines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St. Vincent and the Grenadines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 Vincent and the Grenadines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2001,2012,2023</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2006, 2013</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 Vincent and the Grenadines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2025-11-25T02:53:54Z</dcterms:created>
  <dcterms:modified xsi:type="dcterms:W3CDTF">2025-11-25T02:53:54Z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St. Vincent and the Grenadines Country Report</vt:lpwstr>
  </property>
  <property fmtid="{D5CDD505-2E9C-101B-9397-08002B2CF9AE}" pid="10" name="toc-title">
    <vt:lpwstr>Table of contents</vt:lpwstr>
  </property>
</Properties>
</file>