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United Arab Emirates Country Report</w:t>
      </w:r>
    </w:p>
    <w:bookmarkStart w:id="75" w:name="introduction"/>
    <w:p>
      <w:pPr>
        <w:pStyle w:val="Heading1"/>
      </w:pPr>
      <w:r>
        <w:t xml:space="preserve">Introduction</w:t>
      </w:r>
    </w:p>
    <w:p>
      <w:pPr>
        <w:pStyle w:val="FirstParagraph"/>
      </w:pPr>
      <w:r>
        <w:t xml:space="preserve">United Arab Emirates received a score of 79.1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United Arab Emirates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United Arab Emirates received a score of</w:t>
      </w:r>
      <w:r>
        <w:t xml:space="preserve"> </w:t>
      </w:r>
      <w:r>
        <w:rPr>
          <w:b/>
          <w:bCs/>
        </w:rPr>
        <w:t xml:space="preserve">81.6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United Arab Emirates received a score of 70.4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United Arab Emirates received a score of 68.7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United Arab Emirates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United Arab Emirates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United Arab Emirates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United Arab Emirates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United Arab Emirates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United Arab Emirates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United Arab Emirates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United Arab Emirates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United Arab Emirates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United Arab Emirates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United Arab Emirates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United Arab Emirates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United Arab Emirates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United Arab Emirates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2005,2010,2024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2009, 2010, 2011, 2012, 2013, 2014, 2015, 2016, 2017, 2018, 2019, 2020, 2022</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2009,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United Arab Emirates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2025-11-25T02:59:53Z</dcterms:created>
  <dcterms:modified xsi:type="dcterms:W3CDTF">2025-11-25T02:59:53Z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United Arab Emirates Country Report</vt:lpwstr>
  </property>
  <property fmtid="{D5CDD505-2E9C-101B-9397-08002B2CF9AE}" pid="10" name="toc-title">
    <vt:lpwstr>Table of contents</vt:lpwstr>
  </property>
</Properties>
</file>