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Yemen, Rep. Country Report</w:t>
      </w:r>
    </w:p>
    <w:bookmarkStart w:id="75" w:name="introduction"/>
    <w:p>
      <w:pPr>
        <w:pStyle w:val="Heading1"/>
      </w:pPr>
      <w:r>
        <w:t xml:space="preserve">Introduction</w:t>
      </w:r>
    </w:p>
    <w:p>
      <w:pPr>
        <w:pStyle w:val="FirstParagraph"/>
      </w:pPr>
      <w:r>
        <w:t xml:space="preserve">Yemen, Rep. received a score of 37.4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Yemen, Rep. received a score of 46.6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Yemen, Rep. received a score of</w:t>
      </w:r>
      <w:r>
        <w:t xml:space="preserve"> </w:t>
      </w:r>
      <w:r>
        <w:rPr>
          <w:b/>
          <w:bCs/>
        </w:rPr>
        <w:t xml:space="preserve">28.3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Yemen, Rep. received a score of 66.8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Yemen, Rep. received a score of 20.5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Yemen, Rep. received a score of 25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Yemen, Rep.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Yemen, Rep.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Yemen, Rep. received a score of 0.3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Yemen, Rep. received a score of 0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Yemen, Rep.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Yemen, Rep.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Yemen, Rep. received a score of 0.7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Yemen, Rep.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Yemen, Rep. received a score of 0.2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Yemen, Rep.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Yemen, Rep. received a score of 0.3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Yemen, Rep. received a score of 0.2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Yemen, Rep.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2004</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1991, 1992, 1998, 2005, 2014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2013, 2014</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1991, 1996, 1997, 2006, 2007, 2013</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2003, 2004, 2010, 2013</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5"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Yemen, Rep.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1993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2025-11-25T03:37:42Z</dcterms:created>
  <dcterms:modified xsi:type="dcterms:W3CDTF">2025-11-25T03:37:42Z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Yemen, Rep. Country Report</vt:lpwstr>
  </property>
  <property fmtid="{D5CDD505-2E9C-101B-9397-08002B2CF9AE}" pid="10" name="toc-title">
    <vt:lpwstr>Table of contents</vt:lpwstr>
  </property>
</Properties>
</file>