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footnotes.xml" ContentType="application/vnd.openxmlformats-officedocument.wordprocessingml.footnotes+xml"/>
  <Override PartName="/word/comments.xml" ContentType="application/vnd.openxmlformats-officedocument.wordprocessingml.comment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media/rId40.png" ContentType="image/png"/>
  <Override PartName="/word/media/rId43.png" ContentType="image/png"/>
  <Override PartName="/word/media/rId47.png" ContentType="image/png"/>
  <Override PartName="/word/media/rId50.png" ContentType="image/png"/>
  <Override PartName="/word/media/rId54.png" ContentType="image/png"/>
  <Override PartName="/word/media/rId57.png" ContentType="image/png"/>
  <Override PartName="/word/media/rId61.png" ContentType="image/png"/>
  <Override PartName="/word/media/rId64.png" ContentType="image/png"/>
  <Override PartName="/word/media/rId68.png" ContentType="image/png"/>
  <Override PartName="/word/media/rId71.png" ContentType="image/png"/>
  <Override PartName="/word/media/rId33.png" ContentType="image/png"/>
  <Override PartName="/word/media/rId76.png" ContentType="image/png"/>
  <Override PartName="/word/media/rId79.png" ContentType="image/png"/>
  <Override PartName="/word/media/rId82.png" ContentType="image/png"/>
  <Override PartName="/word/media/rId85.png" ContentType="image/png"/>
  <Override PartName="/word/media/rId88.png" ContentType="image/png"/>
  <Override PartName="/word/media/rId36.png" ContentType="image/png"/>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Cuba</w:t>
      </w:r>
      <w:r>
        <w:t xml:space="preserve"> </w:t>
      </w:r>
      <w:r>
        <w:t xml:space="preserve">Country</w:t>
      </w:r>
      <w:r>
        <w:t xml:space="preserve"> </w:t>
      </w:r>
      <w:r>
        <w:t xml:space="preserve">Report</w:t>
      </w:r>
    </w:p>
    <w:bookmarkStart w:id="75" w:name="introduction"/>
    <w:p>
      <w:pPr>
        <w:pStyle w:val="Heading1"/>
      </w:pPr>
      <w:r>
        <w:t xml:space="preserve">Introduction</w:t>
      </w:r>
    </w:p>
    <w:p>
      <w:pPr>
        <w:pStyle w:val="FirstParagraph"/>
      </w:pPr>
      <w:r>
        <w:t xml:space="preserve">Cuba received a score of NA out of 100 for 2023 on the World Bank’s Statistical Performance Indicator (SPI) overall score, which measures a country’s statistical performance around 5 pillars. These 5 pillars are described below. More information on the scoring for specific indicators can be found in the Annex table. Information on how the SPI data are put together can found in a</w:t>
      </w:r>
      <w:r>
        <w:t xml:space="preserve"> </w:t>
      </w:r>
      <w:hyperlink r:id="rId20">
        <w:r>
          <w:rPr>
            <w:rStyle w:val="Hyperlink"/>
          </w:rPr>
          <w:t xml:space="preserve">journal article</w:t>
        </w:r>
      </w:hyperlink>
      <w:r>
        <w:t xml:space="preserve"> </w:t>
      </w:r>
      <w:r>
        <w:t xml:space="preserve">published in the journal Nature: Scientific Data.</w:t>
      </w:r>
    </w:p>
    <w:bookmarkStart w:id="21"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
          <w:bCs/>
        </w:rPr>
        <w:t xml:space="preserve">Cuba received a score of 40 out of 100 for 2023 on the World Bank’s SPI Pillar 1 score.</w:t>
      </w:r>
    </w:p>
    <w:bookmarkEnd w:id="21"/>
    <w:bookmarkStart w:id="22"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Cuba received a score of</w:t>
      </w:r>
      <w:r>
        <w:t xml:space="preserve"> </w:t>
      </w:r>
      <w:r>
        <w:rPr>
          <w:b/>
          <w:bCs/>
        </w:rPr>
        <w:t xml:space="preserve">NA out of 100 for 2023 on the World Bank’s SPI Pillar 2 score.</w:t>
      </w:r>
    </w:p>
    <w:bookmarkEnd w:id="22"/>
    <w:bookmarkStart w:id="23"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
          <w:bCs/>
        </w:rPr>
        <w:t xml:space="preserve">Cuba received a score of 69.3 out of 100 for 2023 on the World Bank’s SPI Pillar 3 score.</w:t>
      </w:r>
    </w:p>
    <w:bookmarkEnd w:id="23"/>
    <w:bookmarkStart w:id="24"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
          <w:bCs/>
        </w:rPr>
        <w:t xml:space="preserve">Cuba received a score of NA out of 100 for 2023 on the World Bank’s SPI Pillar 4 score.</w:t>
      </w:r>
    </w:p>
    <w:bookmarkEnd w:id="24"/>
    <w:bookmarkStart w:id="25"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
          <w:bCs/>
        </w:rPr>
        <w:t xml:space="preserve">Cuba received a score of NA out of 100 for 2023 on the World Bank’s SPI Pillar 5 score.</w:t>
      </w:r>
    </w:p>
    <w:bookmarkEnd w:id="25"/>
    <w:bookmarkStart w:id="32"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
          <w:bCs/>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
          <w:bCs/>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
          <w:bCs/>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
          <w:bCs/>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
          <w:bCs/>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6">
        <w:r>
          <w:rPr>
            <w:rStyle w:val="Hyperlink"/>
          </w:rPr>
          <w:t xml:space="preserve">PIP</w:t>
        </w:r>
      </w:hyperlink>
      <w:r>
        <w:t xml:space="preserve">. Second on usable surveys for statistics on child mortality for the</w:t>
      </w:r>
      <w:r>
        <w:t xml:space="preserve"> </w:t>
      </w:r>
      <w:hyperlink r:id="rId27">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8">
        <w:r>
          <w:rPr>
            <w:rStyle w:val="Hyperlink"/>
          </w:rPr>
          <w:t xml:space="preserve">WHO/UNICEF Joint Monitoring Programme</w:t>
        </w:r>
      </w:hyperlink>
      <w:r>
        <w:t xml:space="preserve">. Fifth, on labor force participation data for use by</w:t>
      </w:r>
      <w:r>
        <w:t xml:space="preserve"> </w:t>
      </w:r>
      <w:hyperlink r:id="rId29">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
          <w:bCs/>
        </w:rPr>
        <w:t xml:space="preserve">Cuba received a score of 0.4 out of 1 for 2023 on this dimension.</w:t>
      </w:r>
    </w:p>
    <w:p>
      <w:pPr>
        <w:numPr>
          <w:ilvl w:val="0"/>
          <w:numId w:val="1001"/>
        </w:numPr>
      </w:pPr>
      <w:r>
        <w:rPr>
          <w:b/>
          <w:bCs/>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
          <w:bCs/>
        </w:rPr>
        <w:t xml:space="preserve">Cuba received a score of 0 out of 1 for 2023 on this dimension.</w:t>
      </w:r>
    </w:p>
    <w:p>
      <w:pPr>
        <w:numPr>
          <w:ilvl w:val="0"/>
          <w:numId w:val="1001"/>
        </w:numPr>
      </w:pPr>
      <w:r>
        <w:rPr>
          <w:b/>
          <w:bCs/>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30">
        <w:r>
          <w:rPr>
            <w:rStyle w:val="Hyperlink"/>
          </w:rPr>
          <w:t xml:space="preserve">ODIN technical documentation</w:t>
        </w:r>
      </w:hyperlink>
      <w:r>
        <w:t xml:space="preserve">.</w:t>
      </w:r>
      <w:r>
        <w:t xml:space="preserve"> </w:t>
      </w:r>
      <w:r>
        <w:rPr>
          <w:b/>
          <w:bCs/>
        </w:rPr>
        <w:t xml:space="preserve">Cuba received a score of 0.3 out of 1 for 2023 on this dimension.</w:t>
      </w:r>
    </w:p>
    <w:p>
      <w:pPr>
        <w:numPr>
          <w:ilvl w:val="0"/>
          <w:numId w:val="1001"/>
        </w:numPr>
      </w:pPr>
      <w:r>
        <w:rPr>
          <w:b/>
          <w:bCs/>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
          <w:bCs/>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
          <w:bCs/>
        </w:rPr>
        <w:t xml:space="preserve">Cuba received a score of NA out of 1 for 2023 on this dimension.</w:t>
      </w:r>
    </w:p>
    <w:p>
      <w:pPr>
        <w:numPr>
          <w:ilvl w:val="0"/>
          <w:numId w:val="1001"/>
        </w:numPr>
      </w:pPr>
      <w:r>
        <w:rPr>
          <w:b/>
          <w:bCs/>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1">
        <w:r>
          <w:rPr>
            <w:rStyle w:val="Hyperlink"/>
          </w:rPr>
          <w:t xml:space="preserve">Measuring Distance to the SDG Targets 2019: An Assessment of Where OECD Countries Stand</w:t>
        </w:r>
      </w:hyperlink>
      <w:r>
        <w:t xml:space="preserve">.</w:t>
      </w:r>
      <w:r>
        <w:t xml:space="preserve"> </w:t>
      </w:r>
      <w:r>
        <w:rPr>
          <w:b/>
          <w:bCs/>
        </w:rPr>
        <w:t xml:space="preserve">Cuba received a score of 0.7 out of 1 for 2023 on this dimension.</w:t>
      </w:r>
    </w:p>
    <w:p>
      <w:pPr>
        <w:numPr>
          <w:ilvl w:val="0"/>
          <w:numId w:val="1001"/>
        </w:numPr>
      </w:pPr>
      <w:r>
        <w:rPr>
          <w:b/>
          <w:bCs/>
        </w:rPr>
        <w:t xml:space="preserve">Dimension 3.2: Economic Statistics:</w:t>
      </w:r>
      <w:r>
        <w:t xml:space="preserve"> </w:t>
      </w:r>
      <w:r>
        <w:t xml:space="preserve">Availability of Goal 7-12 indicators, measured by an average score. See 3.1.</w:t>
      </w:r>
      <w:r>
        <w:t xml:space="preserve"> </w:t>
      </w:r>
      <w:r>
        <w:rPr>
          <w:b/>
          <w:bCs/>
        </w:rPr>
        <w:t xml:space="preserve">Cuba received a score of 0.7 out of 1 for 2023 on this dimension.</w:t>
      </w:r>
    </w:p>
    <w:p>
      <w:pPr>
        <w:numPr>
          <w:ilvl w:val="0"/>
          <w:numId w:val="1001"/>
        </w:numPr>
      </w:pPr>
      <w:r>
        <w:rPr>
          <w:b/>
          <w:bCs/>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
          <w:bCs/>
        </w:rPr>
        <w:t xml:space="preserve">Cuba received a score of 0.6 out of 1 for 2023 on this dimension.</w:t>
      </w:r>
    </w:p>
    <w:p>
      <w:pPr>
        <w:numPr>
          <w:ilvl w:val="0"/>
          <w:numId w:val="1001"/>
        </w:numPr>
      </w:pPr>
      <w:r>
        <w:rPr>
          <w:b/>
          <w:bCs/>
        </w:rPr>
        <w:t xml:space="preserve">Dimension 3.4: Institutional Statistics:</w:t>
      </w:r>
      <w:r>
        <w:t xml:space="preserve"> </w:t>
      </w:r>
      <w:r>
        <w:t xml:space="preserve">Availability of Goal 16-17 indicators measured by an average score. See 3.1.</w:t>
      </w:r>
      <w:r>
        <w:t xml:space="preserve"> </w:t>
      </w:r>
      <w:r>
        <w:rPr>
          <w:b/>
          <w:bCs/>
        </w:rPr>
        <w:t xml:space="preserve">Cuba received a score of 0.6 out of 1 for 2023 on this dimension.</w:t>
      </w:r>
    </w:p>
    <w:p>
      <w:pPr>
        <w:numPr>
          <w:ilvl w:val="0"/>
          <w:numId w:val="1001"/>
        </w:numPr>
      </w:pPr>
      <w:r>
        <w:rPr>
          <w:b/>
          <w:bCs/>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
          <w:bCs/>
        </w:rPr>
        <w:t xml:space="preserve">Cuba received a score of NA out of 1 for 2023 on this dimension.</w:t>
      </w:r>
    </w:p>
    <w:p>
      <w:pPr>
        <w:numPr>
          <w:ilvl w:val="0"/>
          <w:numId w:val="1001"/>
        </w:numPr>
      </w:pPr>
      <w:r>
        <w:rPr>
          <w:b/>
          <w:bCs/>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
          <w:bCs/>
        </w:rPr>
        <w:t xml:space="preserve">Cuba received a score of 1 out of 1 for 2023 on this dimension.</w:t>
      </w:r>
    </w:p>
    <w:p>
      <w:pPr>
        <w:numPr>
          <w:ilvl w:val="0"/>
          <w:numId w:val="1001"/>
        </w:numPr>
      </w:pPr>
      <w:r>
        <w:rPr>
          <w:b/>
          <w:bCs/>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
          <w:bCs/>
        </w:rPr>
        <w:t xml:space="preserve">Cuba received a score of 0.4 out of 1 for 2023 on this dimension.</w:t>
      </w:r>
    </w:p>
    <w:p>
      <w:pPr>
        <w:numPr>
          <w:ilvl w:val="0"/>
          <w:numId w:val="1001"/>
        </w:numPr>
      </w:pPr>
      <w:r>
        <w:rPr>
          <w:b/>
          <w:bCs/>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
          <w:bCs/>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
          <w:bCs/>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
          <w:bCs/>
        </w:rPr>
        <w:t xml:space="preserve">Cuba received a score of NA out of 1 for 2023 on this dimension.</w:t>
      </w:r>
    </w:p>
    <w:p>
      <w:pPr>
        <w:numPr>
          <w:ilvl w:val="0"/>
          <w:numId w:val="1001"/>
        </w:numPr>
      </w:pPr>
      <w:r>
        <w:rPr>
          <w:b/>
          <w:bCs/>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
          <w:bCs/>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
          <w:bCs/>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2"/>
    <w:bookmarkStart w:id="39" w:name="line-and-tile-chart"/>
    <w:p>
      <w:pPr>
        <w:pStyle w:val="Heading2"/>
      </w:pPr>
      <w:r>
        <w:t xml:space="preserve">Line and Tile Chart</w:t>
      </w:r>
    </w:p>
    <w:p>
      <w:pPr>
        <w:pStyle w:val="FirstParagraph"/>
      </w:pPr>
      <w:r>
        <w:drawing>
          <wp:inline>
            <wp:extent cx="5943600" cy="3962399"/>
            <wp:effectExtent b="0" l="0" r="0" t="0"/>
            <wp:docPr descr="" title="" id="34" name="Picture"/>
            <a:graphic>
              <a:graphicData uri="http://schemas.openxmlformats.org/drawingml/2006/picture">
                <pic:pic>
                  <pic:nvPicPr>
                    <pic:cNvPr descr="spi_country_reports_files/figure-docx/line_charts-1.png" id="35" name="Picture"/>
                    <pic:cNvPicPr>
                      <a:picLocks noChangeArrowheads="1" noChangeAspect="1"/>
                    </pic:cNvPicPr>
                  </pic:nvPicPr>
                  <pic:blipFill>
                    <a:blip r:embed="rId33"/>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7" name="Picture"/>
            <a:graphic>
              <a:graphicData uri="http://schemas.openxmlformats.org/drawingml/2006/picture">
                <pic:pic>
                  <pic:nvPicPr>
                    <pic:cNvPr descr="spi_country_reports_files/figure-docx/overall-1.png" id="38" name="Picture"/>
                    <pic:cNvPicPr>
                      <a:picLocks noChangeArrowheads="1" noChangeAspect="1"/>
                    </pic:cNvPicPr>
                  </pic:nvPicPr>
                  <pic:blipFill>
                    <a:blip r:embed="rId36"/>
                    <a:stretch>
                      <a:fillRect/>
                    </a:stretch>
                  </pic:blipFill>
                  <pic:spPr bwMode="auto">
                    <a:xfrm>
                      <a:off x="0" y="0"/>
                      <a:ext cx="5943600" cy="3962399"/>
                    </a:xfrm>
                    <a:prstGeom prst="rect">
                      <a:avLst/>
                    </a:prstGeom>
                    <a:noFill/>
                    <a:ln w="9525">
                      <a:noFill/>
                      <a:headEnd/>
                      <a:tailEnd/>
                    </a:ln>
                  </pic:spPr>
                </pic:pic>
              </a:graphicData>
            </a:graphic>
          </wp:inline>
        </w:drawing>
      </w:r>
    </w:p>
    <w:bookmarkEnd w:id="39"/>
    <w:bookmarkStart w:id="46" w:name="pillar-1-data-use-1"/>
    <w:p>
      <w:pPr>
        <w:pStyle w:val="Heading2"/>
      </w:pPr>
      <w:r>
        <w:t xml:space="preserve">Pillar 1: Data Use</w:t>
      </w:r>
    </w:p>
    <w:p>
      <w:pPr>
        <w:pStyle w:val="FirstParagraph"/>
      </w:pPr>
      <w:r>
        <w:drawing>
          <wp:inline>
            <wp:extent cx="5943600" cy="3962399"/>
            <wp:effectExtent b="0" l="0" r="0" t="0"/>
            <wp:docPr descr="" title="" id="41" name="Picture"/>
            <a:graphic>
              <a:graphicData uri="http://schemas.openxmlformats.org/drawingml/2006/picture">
                <pic:pic>
                  <pic:nvPicPr>
                    <pic:cNvPr descr="spi_country_reports_files/figure-docx/D1-1.png" id="42" name="Picture"/>
                    <pic:cNvPicPr>
                      <a:picLocks noChangeArrowheads="1" noChangeAspect="1"/>
                    </pic:cNvPicPr>
                  </pic:nvPicPr>
                  <pic:blipFill>
                    <a:blip r:embed="rId4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4" name="Picture"/>
            <a:graphic>
              <a:graphicData uri="http://schemas.openxmlformats.org/drawingml/2006/picture">
                <pic:pic>
                  <pic:nvPicPr>
                    <pic:cNvPr descr="spi_country_reports_files/figure-docx/D1tile-1.png" id="45" name="Picture"/>
                    <pic:cNvPicPr>
                      <a:picLocks noChangeArrowheads="1" noChangeAspect="1"/>
                    </pic:cNvPicPr>
                  </pic:nvPicPr>
                  <pic:blipFill>
                    <a:blip r:embed="rId43"/>
                    <a:stretch>
                      <a:fillRect/>
                    </a:stretch>
                  </pic:blipFill>
                  <pic:spPr bwMode="auto">
                    <a:xfrm>
                      <a:off x="0" y="0"/>
                      <a:ext cx="5943600" cy="4622800"/>
                    </a:xfrm>
                    <a:prstGeom prst="rect">
                      <a:avLst/>
                    </a:prstGeom>
                    <a:noFill/>
                    <a:ln w="9525">
                      <a:noFill/>
                      <a:headEnd/>
                      <a:tailEnd/>
                    </a:ln>
                  </pic:spPr>
                </pic:pic>
              </a:graphicData>
            </a:graphic>
          </wp:inline>
        </w:drawing>
      </w:r>
    </w:p>
    <w:bookmarkEnd w:id="46"/>
    <w:bookmarkStart w:id="53" w:name="pillar-2-data-services-1"/>
    <w:p>
      <w:pPr>
        <w:pStyle w:val="Heading2"/>
      </w:pPr>
      <w:r>
        <w:t xml:space="preserve">Pillar 2: Data Services</w:t>
      </w:r>
    </w:p>
    <w:p>
      <w:pPr>
        <w:pStyle w:val="FirstParagraph"/>
      </w:pPr>
      <w:r>
        <w:drawing>
          <wp:inline>
            <wp:extent cx="5943600" cy="3962399"/>
            <wp:effectExtent b="0" l="0" r="0" t="0"/>
            <wp:docPr descr="" title="" id="48" name="Picture"/>
            <a:graphic>
              <a:graphicData uri="http://schemas.openxmlformats.org/drawingml/2006/picture">
                <pic:pic>
                  <pic:nvPicPr>
                    <pic:cNvPr descr="spi_country_reports_files/figure-docx/D2-1.png" id="49" name="Picture"/>
                    <pic:cNvPicPr>
                      <a:picLocks noChangeArrowheads="1" noChangeAspect="1"/>
                    </pic:cNvPicPr>
                  </pic:nvPicPr>
                  <pic:blipFill>
                    <a:blip r:embed="rId47"/>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1" name="Picture"/>
            <a:graphic>
              <a:graphicData uri="http://schemas.openxmlformats.org/drawingml/2006/picture">
                <pic:pic>
                  <pic:nvPicPr>
                    <pic:cNvPr descr="spi_country_reports_files/figure-docx/D2tile-1.png" id="52" name="Picture"/>
                    <pic:cNvPicPr>
                      <a:picLocks noChangeArrowheads="1" noChangeAspect="1"/>
                    </pic:cNvPicPr>
                  </pic:nvPicPr>
                  <pic:blipFill>
                    <a:blip r:embed="rId50"/>
                    <a:stretch>
                      <a:fillRect/>
                    </a:stretch>
                  </pic:blipFill>
                  <pic:spPr bwMode="auto">
                    <a:xfrm>
                      <a:off x="0" y="0"/>
                      <a:ext cx="5943600" cy="4622800"/>
                    </a:xfrm>
                    <a:prstGeom prst="rect">
                      <a:avLst/>
                    </a:prstGeom>
                    <a:noFill/>
                    <a:ln w="9525">
                      <a:noFill/>
                      <a:headEnd/>
                      <a:tailEnd/>
                    </a:ln>
                  </pic:spPr>
                </pic:pic>
              </a:graphicData>
            </a:graphic>
          </wp:inline>
        </w:drawing>
      </w:r>
    </w:p>
    <w:bookmarkEnd w:id="53"/>
    <w:bookmarkStart w:id="60" w:name="pillar-3-data-products-1"/>
    <w:p>
      <w:pPr>
        <w:pStyle w:val="Heading2"/>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spi_country_reports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spi_country_reports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bookmarkEnd w:id="60"/>
    <w:bookmarkStart w:id="67" w:name="pillar-4-data-sources-1"/>
    <w:p>
      <w:pPr>
        <w:pStyle w:val="Heading2"/>
      </w:pPr>
      <w:r>
        <w:t xml:space="preserve">Pillar 4: Data Sources</w:t>
      </w:r>
    </w:p>
    <w:p>
      <w:pPr>
        <w:pStyle w:val="FirstParagraph"/>
      </w:pPr>
      <w:r>
        <w:drawing>
          <wp:inline>
            <wp:extent cx="5943600" cy="3962399"/>
            <wp:effectExtent b="0" l="0" r="0" t="0"/>
            <wp:docPr descr="" title="" id="62" name="Picture"/>
            <a:graphic>
              <a:graphicData uri="http://schemas.openxmlformats.org/drawingml/2006/picture">
                <pic:pic>
                  <pic:nvPicPr>
                    <pic:cNvPr descr="spi_country_reports_files/figure-docx/D4-1.png" id="63" name="Picture"/>
                    <pic:cNvPicPr>
                      <a:picLocks noChangeArrowheads="1" noChangeAspect="1"/>
                    </pic:cNvPicPr>
                  </pic:nvPicPr>
                  <pic:blipFill>
                    <a:blip r:embed="rId61"/>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5" name="Picture"/>
            <a:graphic>
              <a:graphicData uri="http://schemas.openxmlformats.org/drawingml/2006/picture">
                <pic:pic>
                  <pic:nvPicPr>
                    <pic:cNvPr descr="spi_country_reports_files/figure-docx/D4tile-1.png" id="66" name="Picture"/>
                    <pic:cNvPicPr>
                      <a:picLocks noChangeArrowheads="1" noChangeAspect="1"/>
                    </pic:cNvPicPr>
                  </pic:nvPicPr>
                  <pic:blipFill>
                    <a:blip r:embed="rId64"/>
                    <a:stretch>
                      <a:fillRect/>
                    </a:stretch>
                  </pic:blipFill>
                  <pic:spPr bwMode="auto">
                    <a:xfrm>
                      <a:off x="0" y="0"/>
                      <a:ext cx="5943600" cy="5943600"/>
                    </a:xfrm>
                    <a:prstGeom prst="rect">
                      <a:avLst/>
                    </a:prstGeom>
                    <a:noFill/>
                    <a:ln w="9525">
                      <a:noFill/>
                      <a:headEnd/>
                      <a:tailEnd/>
                    </a:ln>
                  </pic:spPr>
                </pic:pic>
              </a:graphicData>
            </a:graphic>
          </wp:inline>
        </w:drawing>
      </w:r>
    </w:p>
    <w:bookmarkEnd w:id="67"/>
    <w:bookmarkStart w:id="74" w:name="pillar-5-data-infrastructure-1"/>
    <w:p>
      <w:pPr>
        <w:pStyle w:val="Heading2"/>
      </w:pPr>
      <w:r>
        <w:t xml:space="preserve">Pillar 5: Data Infrastructure</w:t>
      </w:r>
    </w:p>
    <w:p>
      <w:pPr>
        <w:pStyle w:val="FirstParagraph"/>
      </w:pPr>
      <w:r>
        <w:drawing>
          <wp:inline>
            <wp:extent cx="5943600" cy="3962399"/>
            <wp:effectExtent b="0" l="0" r="0" t="0"/>
            <wp:docPr descr="" title="" id="69" name="Picture"/>
            <a:graphic>
              <a:graphicData uri="http://schemas.openxmlformats.org/drawingml/2006/picture">
                <pic:pic>
                  <pic:nvPicPr>
                    <pic:cNvPr descr="spi_country_reports_files/figure-docx/D5-1.png" id="70" name="Picture"/>
                    <pic:cNvPicPr>
                      <a:picLocks noChangeArrowheads="1" noChangeAspect="1"/>
                    </pic:cNvPicPr>
                  </pic:nvPicPr>
                  <pic:blipFill>
                    <a:blip r:embed="rId68"/>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2" name="Picture"/>
            <a:graphic>
              <a:graphicData uri="http://schemas.openxmlformats.org/drawingml/2006/picture">
                <pic:pic>
                  <pic:nvPicPr>
                    <pic:cNvPr descr="spi_country_reports_files/figure-docx/D5tile-1.png" id="73" name="Picture"/>
                    <pic:cNvPicPr>
                      <a:picLocks noChangeArrowheads="1" noChangeAspect="1"/>
                    </pic:cNvPicPr>
                  </pic:nvPicPr>
                  <pic:blipFill>
                    <a:blip r:embed="rId71"/>
                    <a:stretch>
                      <a:fillRect/>
                    </a:stretch>
                  </pic:blipFill>
                  <pic:spPr bwMode="auto">
                    <a:xfrm>
                      <a:off x="0" y="0"/>
                      <a:ext cx="5943600" cy="5943600"/>
                    </a:xfrm>
                    <a:prstGeom prst="rect">
                      <a:avLst/>
                    </a:prstGeom>
                    <a:noFill/>
                    <a:ln w="9525">
                      <a:noFill/>
                      <a:headEnd/>
                      <a:tailEnd/>
                    </a:ln>
                  </pic:spPr>
                </pic:pic>
              </a:graphicData>
            </a:graphic>
          </wp:inline>
        </w:drawing>
      </w:r>
    </w:p>
    <w:bookmarkEnd w:id="74"/>
    <w:bookmarkEnd w:id="75"/>
    <w:bookmarkStart w:id="91" w:name="by-indicator"/>
    <w:p>
      <w:pPr>
        <w:pStyle w:val="Heading1"/>
      </w:pPr>
      <w:r>
        <w:t xml:space="preserve">By Indicator</w:t>
      </w:r>
    </w:p>
    <w:p>
      <w:pPr>
        <w:pStyle w:val="FirstParagraph"/>
      </w:pPr>
      <w:r>
        <w:drawing>
          <wp:inline>
            <wp:extent cx="5943600" cy="4160520"/>
            <wp:effectExtent b="0" l="0" r="0" t="0"/>
            <wp:docPr descr="" title="" id="77" name="Picture"/>
            <a:graphic>
              <a:graphicData uri="http://schemas.openxmlformats.org/drawingml/2006/picture">
                <pic:pic>
                  <pic:nvPicPr>
                    <pic:cNvPr descr="spi_country_reports_files/figure-docx/lolliplot1-1.png" id="78" name="Picture"/>
                    <pic:cNvPicPr>
                      <a:picLocks noChangeArrowheads="1" noChangeAspect="1"/>
                    </pic:cNvPicPr>
                  </pic:nvPicPr>
                  <pic:blipFill>
                    <a:blip r:embed="rId76"/>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80" name="Picture"/>
            <a:graphic>
              <a:graphicData uri="http://schemas.openxmlformats.org/drawingml/2006/picture">
                <pic:pic>
                  <pic:nvPicPr>
                    <pic:cNvPr descr="spi_country_reports_files/figure-docx/lolliplot2-1.png" id="81" name="Picture"/>
                    <pic:cNvPicPr>
                      <a:picLocks noChangeArrowheads="1" noChangeAspect="1"/>
                    </pic:cNvPicPr>
                  </pic:nvPicPr>
                  <pic:blipFill>
                    <a:blip r:embed="rId79"/>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3" name="Picture"/>
            <a:graphic>
              <a:graphicData uri="http://schemas.openxmlformats.org/drawingml/2006/picture">
                <pic:pic>
                  <pic:nvPicPr>
                    <pic:cNvPr descr="spi_country_reports_files/figure-docx/lolliplot3-1.png" id="84" name="Picture"/>
                    <pic:cNvPicPr>
                      <a:picLocks noChangeArrowheads="1" noChangeAspect="1"/>
                    </pic:cNvPicPr>
                  </pic:nvPicPr>
                  <pic:blipFill>
                    <a:blip r:embed="rId82"/>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spi_country_reports_files/figure-docx/lolliplot4-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9" name="Picture"/>
            <a:graphic>
              <a:graphicData uri="http://schemas.openxmlformats.org/drawingml/2006/picture">
                <pic:pic>
                  <pic:nvPicPr>
                    <pic:cNvPr descr="spi_country_reports_files/figure-docx/lolliplot5-1.png" id="90" name="Picture"/>
                    <pic:cNvPicPr>
                      <a:picLocks noChangeArrowheads="1" noChangeAspect="1"/>
                    </pic:cNvPicPr>
                  </pic:nvPicPr>
                  <pic:blipFill>
                    <a:blip r:embed="rId88"/>
                    <a:stretch>
                      <a:fillRect/>
                    </a:stretch>
                  </pic:blipFill>
                  <pic:spPr bwMode="auto">
                    <a:xfrm>
                      <a:off x="0" y="0"/>
                      <a:ext cx="5943600" cy="4754879"/>
                    </a:xfrm>
                    <a:prstGeom prst="rect">
                      <a:avLst/>
                    </a:prstGeom>
                    <a:noFill/>
                    <a:ln w="9525">
                      <a:noFill/>
                      <a:headEnd/>
                      <a:tailEnd/>
                    </a:ln>
                  </pic:spPr>
                </pic:pic>
              </a:graphicData>
            </a:graphic>
          </wp:inline>
        </w:drawing>
      </w:r>
    </w:p>
    <w:bookmarkEnd w:id="91"/>
    <w:bookmarkStart w:id="92" w:name="table-of-raw-indicators-and-scores"/>
    <w:p>
      <w:pPr>
        <w:pStyle w:val="Heading1"/>
      </w:pPr>
      <w:r>
        <w:t xml:space="preserve">Table of Raw Indicators and Scores</w:t>
      </w:r>
    </w:p>
    <w:bookmarkEnd w:id="92"/>
    <w:bookmarkStart w:id="93"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2023.</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2000, 2006, 2010, 2014, 2019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3"/>
    <w:bookmarkStart w:id="94"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tblGrid>
      <w:tr>
        <w:trPr>
          <w:trHeight w:val="574" w:hRule="auto"/>
          <w:tblHeader/>
        </w:trPr>
        header 1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Cuba SPI Indicator Data in 2023.</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4"/>
    <w:bookmarkStart w:id="95" w:name="Xc8dc283f59abb60f92f9b8869f95592d424b892"/>
    <w:p>
      <w:pPr>
        <w:pStyle w:val="Heading1"/>
      </w:pPr>
      <w:r>
        <w:t xml:space="preserve">ANNEX: Information on Scoring of Indicators</w:t>
      </w:r>
    </w:p>
    <w:p>
      <w:pPr>
        <w:pStyle w:val="FirstParagraph"/>
      </w:pPr>
      <w:r>
        <w:t xml:space="preserve">More information can be found at the following resource:</w:t>
      </w:r>
    </w:p>
    <w:p>
      <w:pPr>
        <w:pStyle w:val="BodyText"/>
      </w:pPr>
      <w:r>
        <w:t xml:space="preserve">https://worldbank.github.io/SPI/technical-documentation-of-spi-indicators.html</w:t>
      </w:r>
    </w:p>
    <w:tbl>
      <w:tblPr>
        <w:tblStyle w:val="Table"/>
        <w:tblW w:type="pct" w:w="5000"/>
        <w:tblLayout w:type="fixed"/>
        <w:tblLook w:firstRow="1" w:lastRow="0" w:firstColumn="0" w:lastColumn="0" w:noHBand="0" w:noVBand="0" w:val="0020"/>
      </w:tblPr>
      <w:tblGrid>
        <w:gridCol w:w="1875"/>
        <w:gridCol w:w="2823"/>
        <w:gridCol w:w="3221"/>
      </w:tblGrid>
      <w:tr>
        <w:trPr>
          <w:tblHeader w:val="on"/>
        </w:trPr>
        <w:tc>
          <w:tcPr/>
          <w:p>
            <w:pPr>
              <w:pStyle w:val="Compact"/>
              <w:jc w:val="left"/>
            </w:pPr>
            <w:r>
              <w:rPr>
                <w:b/>
                <w:bCs/>
              </w:rPr>
              <w:t xml:space="preserve">Indicator Name</w:t>
            </w:r>
          </w:p>
        </w:tc>
        <w:tc>
          <w:tcPr/>
          <w:p>
            <w:pPr>
              <w:pStyle w:val="Compact"/>
              <w:jc w:val="left"/>
            </w:pPr>
            <w:r>
              <w:rPr>
                <w:b/>
                <w:bCs/>
              </w:rPr>
              <w:t xml:space="preserve">Brief Description</w:t>
            </w:r>
          </w:p>
        </w:tc>
        <w:tc>
          <w:tcPr/>
          <w:p>
            <w:pPr>
              <w:pStyle w:val="Compact"/>
              <w:jc w:val="left"/>
            </w:pPr>
            <w:r>
              <w:rPr>
                <w:b/>
                <w:bCs/>
              </w:rPr>
              <w:t xml:space="preserve">Scoring</w:t>
            </w:r>
          </w:p>
        </w:tc>
      </w:tr>
      <w:tr>
        <w:tc>
          <w:tcPr/>
          <w:p>
            <w:pPr>
              <w:pStyle w:val="Compact"/>
              <w:jc w:val="left"/>
            </w:pPr>
            <w:r>
              <w:t xml:space="preserve">Availability of Comparable Poverty headcount ratio at $2.15 a day</w:t>
            </w:r>
          </w:p>
        </w:tc>
        <w:tc>
          <w:tcPr/>
          <w:p>
            <w:pPr>
              <w:pStyle w:val="Compact"/>
              <w:jc w:val="left"/>
            </w:pPr>
            <w:r>
              <w:t xml:space="preserve">Comparability data from World Bank’s PIP</w:t>
            </w:r>
          </w:p>
        </w:tc>
        <w:tc>
          <w:tcPr/>
          <w:p>
            <w:pPr>
              <w:pStyle w:val="Compact"/>
              <w:jc w:val="left"/>
            </w:pPr>
            <w:r>
              <w:t xml:space="preserve">1 Point. Comparable data lasting at least two years within past 5 years. 0.5 Point. Comparable data lasting at least two years within past 10 years. 0 Points. No comparable data within past 5 years</w:t>
            </w:r>
          </w:p>
        </w:tc>
      </w:tr>
      <w:tr>
        <w:tc>
          <w:tcPr/>
          <w:p>
            <w:pPr>
              <w:pStyle w:val="Compact"/>
              <w:jc w:val="left"/>
            </w:pPr>
            <w:r>
              <w:t xml:space="preserve">Availability of Mortality rate under-5 (per 1000 live births) data meeting quality standards</w:t>
            </w:r>
          </w:p>
        </w:tc>
        <w:tc>
          <w:tcPr/>
          <w:p>
            <w:pPr>
              <w:pStyle w:val="Compact"/>
              <w:jc w:val="left"/>
            </w:pPr>
            <w:r>
              <w:t xml:space="preserve">Child Mortality Metadata from UN IGME</w:t>
            </w:r>
          </w:p>
        </w:tc>
        <w:tc>
          <w:tcPr/>
          <w:p>
            <w:pPr>
              <w:pStyle w:val="Compact"/>
              <w:jc w:val="left"/>
            </w:pPr>
            <w:r>
              <w:t xml:space="preserve">1 Point. Two indicators that met UN IGME standards within past 5 years. 0.5 Point. Two indicators that met UN IGME standards within past 10 years. 0 Points. No data that met UN IGME standards within past 10 years</w:t>
            </w:r>
          </w:p>
        </w:tc>
      </w:tr>
      <w:tr>
        <w:tc>
          <w:tcPr/>
          <w:p>
            <w:pPr>
              <w:pStyle w:val="Compact"/>
              <w:jc w:val="left"/>
            </w:pPr>
            <w:r>
              <w:t xml:space="preserve">Quality of Debt service data according to World Bank</w:t>
            </w:r>
          </w:p>
        </w:tc>
        <w:tc>
          <w:tcPr/>
          <w:p>
            <w:pPr>
              <w:pStyle w:val="Compact"/>
              <w:jc w:val="left"/>
            </w:pPr>
            <w:r>
              <w:t xml:space="preserve">Debt Reporting Metadata from World Bank</w:t>
            </w:r>
          </w:p>
        </w:tc>
        <w:tc>
          <w:tcPr/>
          <w:p>
            <w:pPr>
              <w:pStyle w:val="Compact"/>
              <w:jc w:val="left"/>
            </w:pPr>
            <w:r>
              <w:t xml:space="preserve">1 Points. Actual value. 0.67 Points. Preliminary value. 0.33 Points. Estimated value. 0 Points. No value</w:t>
            </w:r>
          </w:p>
        </w:tc>
      </w:tr>
      <w:tr>
        <w:tc>
          <w:tcPr/>
          <w:p>
            <w:pPr>
              <w:pStyle w:val="Compact"/>
              <w:jc w:val="left"/>
            </w:pPr>
            <w:r>
              <w:t xml:space="preserve">Safely Managed Drinking Water</w:t>
            </w:r>
          </w:p>
        </w:tc>
        <w:tc>
          <w:tcPr/>
          <w:p>
            <w:pPr>
              <w:pStyle w:val="Compact"/>
              <w:jc w:val="left"/>
            </w:pPr>
            <w:r>
              <w:t xml:space="preserve">Availability of Safely Managed Drinking Water data for use by JMP</w:t>
            </w:r>
          </w:p>
        </w:tc>
        <w:tc>
          <w:tcPr/>
          <w:p>
            <w:pPr>
              <w:pStyle w:val="Compact"/>
              <w:jc w:val="left"/>
            </w:pPr>
            <w:r>
              <w:t xml:space="preserve">1 Point. At least two estimates with breakdowns for urban/rural areas within an 8 year window. 0.5 Points. At least two estimates but not an urban/rural breakdown within an 8 year window. 0 Points. Otherwise</w:t>
            </w:r>
          </w:p>
        </w:tc>
      </w:tr>
      <w:tr>
        <w:tc>
          <w:tcPr/>
          <w:p>
            <w:pPr>
              <w:pStyle w:val="Compact"/>
              <w:jc w:val="left"/>
            </w:pPr>
            <w:r>
              <w:t xml:space="preserve">Labor force participation rate by sex and age (%)</w:t>
            </w:r>
          </w:p>
        </w:tc>
        <w:tc>
          <w:tcPr/>
          <w:p>
            <w:pPr>
              <w:pStyle w:val="Compact"/>
              <w:jc w:val="left"/>
            </w:pPr>
            <w:r>
              <w:t xml:space="preserve">Labor force participation data for use by ILO</w:t>
            </w:r>
          </w:p>
        </w:tc>
        <w:tc>
          <w:tcPr/>
          <w:p>
            <w:pPr>
              <w:pStyle w:val="Compact"/>
              <w:jc w:val="left"/>
            </w:pPr>
            <w:r>
              <w:t xml:space="preserve">1 Point. Country has a labor force survey based estimate in past 5 years of labor force participation broken down by total male and female &amp; estimated value from ILO is within 10 percentage points of value reported by national government. 0.5 Point. Country has labor force survey or is within 10 points of ILO but not both. 0 Points. Otherwise</w:t>
            </w:r>
          </w:p>
        </w:tc>
      </w:tr>
      <w:tr>
        <w:tc>
          <w:tcPr/>
          <w:p>
            <w:pPr>
              <w:pStyle w:val="Compact"/>
              <w:jc w:val="left"/>
            </w:pPr>
            <w:r>
              <w:t xml:space="preserve">SDDS/e-GDDS subscription</w:t>
            </w:r>
          </w:p>
        </w:tc>
        <w:tc>
          <w:tcPr/>
          <w:p>
            <w:pPr>
              <w:pStyle w:val="Compact"/>
              <w:jc w:val="left"/>
            </w:pPr>
            <w:r>
              <w:t xml:space="preserve">The Special Data Dissemination Standard (SDDS) and electronic General Data Dissemination Standard (e-GDDS) were established by the International Monetary Fund (IMF) for member countries that have or that might seek access to international capital markets to guide them in providing their economic and financial data to the public. Although subscription is voluntary the subscribing member needs to be committed to observing the standard and provide information about its data and data dissemination practices (metadata). The metadata are posted on the IMF’s SDDS and e-GDDS websites.</w:t>
            </w:r>
          </w:p>
        </w:tc>
        <w:tc>
          <w:tcPr/>
          <w:p>
            <w:pPr>
              <w:pStyle w:val="Compact"/>
              <w:jc w:val="left"/>
            </w:pPr>
            <w:r>
              <w:t xml:space="preserve">Point. Subscribing to IMF SDDS+ or SDDS standards. 0.5 Points. Subscribing to IMF e-GDDS standards. 0 Points. Otherwise</w:t>
            </w:r>
          </w:p>
        </w:tc>
      </w:tr>
      <w:tr>
        <w:tc>
          <w:tcPr/>
          <w:p>
            <w:pPr>
              <w:pStyle w:val="Compact"/>
              <w:jc w:val="left"/>
            </w:pPr>
            <w:r>
              <w:t xml:space="preserve">ODIN Open Data Openness score</w:t>
            </w:r>
          </w:p>
        </w:tc>
        <w:tc>
          <w:tcPr/>
          <w:p>
            <w:pPr>
              <w:pStyle w:val="Compact"/>
              <w:jc w:val="left"/>
            </w:pPr>
            <w:r>
              <w:t xml:space="preserve">ODW Openness score</w:t>
            </w:r>
          </w:p>
        </w:tc>
        <w:tc>
          <w:tcPr/>
          <w:p>
            <w:pPr>
              <w:pStyle w:val="Compact"/>
              <w:jc w:val="left"/>
            </w:pPr>
            <w:r>
              <w:t xml:space="preserve">Our source for this indicator is Open Data Watch. Scores range from 0-100. For more details consult the ODIN technical documentation.</w:t>
            </w:r>
          </w:p>
        </w:tc>
      </w:tr>
      <w:tr>
        <w:tc>
          <w:tcPr/>
          <w:p>
            <w:pPr>
              <w:pStyle w:val="Compact"/>
              <w:jc w:val="left"/>
            </w:pPr>
            <w:r>
              <w:t xml:space="preserve">NADA metadata</w:t>
            </w:r>
          </w:p>
        </w:tc>
        <w:tc>
          <w:tcPr/>
          <w:p>
            <w:pPr>
              <w:pStyle w:val="Compact"/>
              <w:jc w:val="left"/>
            </w:pPr>
            <w:r>
              <w:t xml:space="preserve">NADA/NSO websites. Statistical systems must be open and transparent about their methods and procedures and provide access to adequate metadata – detailed descriptions of the methods and procedures used to produce microddata.</w:t>
            </w:r>
          </w:p>
        </w:tc>
        <w:tc>
          <w:tcPr/>
          <w:p>
            <w:pPr>
              <w:pStyle w:val="Compact"/>
              <w:jc w:val="left"/>
            </w:pPr>
            <w:r>
              <w:t xml:space="preserve">1 Point. Yes available. 0 Points. No.</w:t>
            </w:r>
          </w:p>
        </w:tc>
      </w:tr>
      <w:tr>
        <w:tc>
          <w:tcPr/>
          <w:p>
            <w:pPr>
              <w:pStyle w:val="Compact"/>
              <w:jc w:val="left"/>
            </w:pPr>
            <w:r>
              <w:t xml:space="preserve">GOAL 1: No Poverty</w:t>
            </w:r>
          </w:p>
        </w:tc>
        <w:tc>
          <w:tcPr/>
          <w:p>
            <w:pPr>
              <w:pStyle w:val="Compact"/>
              <w:jc w:val="left"/>
            </w:pPr>
            <w:r>
              <w:t xml:space="preserve">SDG Goal 1 data availability. Source: UN Global SDG Indicators Database</w:t>
            </w:r>
          </w:p>
        </w:tc>
        <w:tc>
          <w:tcPr/>
          <w:p>
            <w:pPr>
              <w:pStyle w:val="Compact"/>
              <w:jc w:val="left"/>
            </w:pPr>
            <w:r>
              <w:t xml:space="preserve">Fraction of Indicators in Goal 1 with value produced by country’s statistical system within a 5-year window.</w:t>
            </w:r>
          </w:p>
        </w:tc>
      </w:tr>
      <w:tr>
        <w:tc>
          <w:tcPr/>
          <w:p>
            <w:pPr>
              <w:pStyle w:val="Compact"/>
              <w:jc w:val="left"/>
            </w:pPr>
            <w:r>
              <w:t xml:space="preserve">GOAL 2: Zero Hunger</w:t>
            </w:r>
          </w:p>
        </w:tc>
        <w:tc>
          <w:tcPr/>
          <w:p>
            <w:pPr>
              <w:pStyle w:val="Compact"/>
              <w:jc w:val="left"/>
            </w:pPr>
            <w:r>
              <w:t xml:space="preserve">SDG Goal 2 data availability. Source: UN Global SDG Indicators Database</w:t>
            </w:r>
          </w:p>
        </w:tc>
        <w:tc>
          <w:tcPr/>
          <w:p>
            <w:pPr>
              <w:pStyle w:val="Compact"/>
              <w:jc w:val="left"/>
            </w:pPr>
            <w:r>
              <w:t xml:space="preserve">Fraction of Indicators in Goal 2 with value produced by country’s statistical system within a 5-year window.</w:t>
            </w:r>
          </w:p>
        </w:tc>
      </w:tr>
      <w:tr>
        <w:tc>
          <w:tcPr/>
          <w:p>
            <w:pPr>
              <w:pStyle w:val="Compact"/>
              <w:jc w:val="left"/>
            </w:pPr>
            <w:r>
              <w:t xml:space="preserve">GOAL 3: Good Health and Well-being</w:t>
            </w:r>
          </w:p>
        </w:tc>
        <w:tc>
          <w:tcPr/>
          <w:p>
            <w:pPr>
              <w:pStyle w:val="Compact"/>
              <w:jc w:val="left"/>
            </w:pPr>
            <w:r>
              <w:t xml:space="preserve">SDG Goal 3 data availability. Source: UN Global SDG Indicators Database</w:t>
            </w:r>
          </w:p>
        </w:tc>
        <w:tc>
          <w:tcPr/>
          <w:p>
            <w:pPr>
              <w:pStyle w:val="Compact"/>
              <w:jc w:val="left"/>
            </w:pPr>
            <w:r>
              <w:t xml:space="preserve">Fraction of Indicators in Goal 3 with value produced by country’s statistical system within a 5-year window.</w:t>
            </w:r>
          </w:p>
        </w:tc>
      </w:tr>
      <w:tr>
        <w:tc>
          <w:tcPr/>
          <w:p>
            <w:pPr>
              <w:pStyle w:val="Compact"/>
              <w:jc w:val="left"/>
            </w:pPr>
            <w:r>
              <w:t xml:space="preserve">GOAL 4: Quality Education</w:t>
            </w:r>
          </w:p>
        </w:tc>
        <w:tc>
          <w:tcPr/>
          <w:p>
            <w:pPr>
              <w:pStyle w:val="Compact"/>
              <w:jc w:val="left"/>
            </w:pPr>
            <w:r>
              <w:t xml:space="preserve">SDG Goal 4 data availability. Source: UN Global SDG Indicators Database</w:t>
            </w:r>
          </w:p>
        </w:tc>
        <w:tc>
          <w:tcPr/>
          <w:p>
            <w:pPr>
              <w:pStyle w:val="Compact"/>
              <w:jc w:val="left"/>
            </w:pPr>
            <w:r>
              <w:t xml:space="preserve">Fraction of Indicators in Goal 4 with value produced by country’s statistical system within a 5-year window.</w:t>
            </w:r>
          </w:p>
        </w:tc>
      </w:tr>
      <w:tr>
        <w:tc>
          <w:tcPr/>
          <w:p>
            <w:pPr>
              <w:pStyle w:val="Compact"/>
              <w:jc w:val="left"/>
            </w:pPr>
            <w:r>
              <w:t xml:space="preserve">GOAL 5: Gender Equality</w:t>
            </w:r>
          </w:p>
        </w:tc>
        <w:tc>
          <w:tcPr/>
          <w:p>
            <w:pPr>
              <w:pStyle w:val="Compact"/>
              <w:jc w:val="left"/>
            </w:pPr>
            <w:r>
              <w:t xml:space="preserve">SDG Goal 5 data availability. Source: UN Global SDG Indicators Database</w:t>
            </w:r>
          </w:p>
        </w:tc>
        <w:tc>
          <w:tcPr/>
          <w:p>
            <w:pPr>
              <w:pStyle w:val="Compact"/>
              <w:jc w:val="left"/>
            </w:pPr>
            <w:r>
              <w:t xml:space="preserve">Fraction of Indicators in Goal 5 with value produced by country’s statistical system within a 5-year window.</w:t>
            </w:r>
          </w:p>
        </w:tc>
      </w:tr>
      <w:tr>
        <w:tc>
          <w:tcPr/>
          <w:p>
            <w:pPr>
              <w:pStyle w:val="Compact"/>
              <w:jc w:val="left"/>
            </w:pPr>
            <w:r>
              <w:t xml:space="preserve">GOAL 6: Clean Water and Sanitation</w:t>
            </w:r>
          </w:p>
        </w:tc>
        <w:tc>
          <w:tcPr/>
          <w:p>
            <w:pPr>
              <w:pStyle w:val="Compact"/>
              <w:jc w:val="left"/>
            </w:pPr>
            <w:r>
              <w:t xml:space="preserve">SDG Goal 6 data availability. Source: UN Global SDG Indicators Database</w:t>
            </w:r>
          </w:p>
        </w:tc>
        <w:tc>
          <w:tcPr/>
          <w:p>
            <w:pPr>
              <w:pStyle w:val="Compact"/>
              <w:jc w:val="left"/>
            </w:pPr>
            <w:r>
              <w:t xml:space="preserve">Fraction of Indicators in Goal 6 with value produced by country’s statistical system within a 5-year window.</w:t>
            </w:r>
          </w:p>
        </w:tc>
      </w:tr>
      <w:tr>
        <w:tc>
          <w:tcPr/>
          <w:p>
            <w:pPr>
              <w:pStyle w:val="Compact"/>
              <w:jc w:val="left"/>
            </w:pPr>
            <w:r>
              <w:t xml:space="preserve">GOAL 7: Affordable and Clean Energy</w:t>
            </w:r>
          </w:p>
        </w:tc>
        <w:tc>
          <w:tcPr/>
          <w:p>
            <w:pPr>
              <w:pStyle w:val="Compact"/>
              <w:jc w:val="left"/>
            </w:pPr>
            <w:r>
              <w:t xml:space="preserve">SDG Goal 7 data availability. Source: UN Global SDG Indicators Database</w:t>
            </w:r>
          </w:p>
        </w:tc>
        <w:tc>
          <w:tcPr/>
          <w:p>
            <w:pPr>
              <w:pStyle w:val="Compact"/>
              <w:jc w:val="left"/>
            </w:pPr>
            <w:r>
              <w:t xml:space="preserve">Fraction of Indicators in Goal 7 with value produced by country’s statistical system within a 5-year window.</w:t>
            </w:r>
          </w:p>
        </w:tc>
      </w:tr>
      <w:tr>
        <w:tc>
          <w:tcPr/>
          <w:p>
            <w:pPr>
              <w:pStyle w:val="Compact"/>
              <w:jc w:val="left"/>
            </w:pPr>
            <w:r>
              <w:t xml:space="preserve">GOAL 8: Decent Work and Economic Growth</w:t>
            </w:r>
          </w:p>
        </w:tc>
        <w:tc>
          <w:tcPr/>
          <w:p>
            <w:pPr>
              <w:pStyle w:val="Compact"/>
              <w:jc w:val="left"/>
            </w:pPr>
            <w:r>
              <w:t xml:space="preserve">SDG Goal 8 data availability. Source: UN Global SDG Indicators Database</w:t>
            </w:r>
          </w:p>
        </w:tc>
        <w:tc>
          <w:tcPr/>
          <w:p>
            <w:pPr>
              <w:pStyle w:val="Compact"/>
              <w:jc w:val="left"/>
            </w:pPr>
            <w:r>
              <w:t xml:space="preserve">Fraction of Indicators in Goal 8 with value produced by country’s statistical system within a 5-year window.</w:t>
            </w:r>
          </w:p>
        </w:tc>
      </w:tr>
      <w:tr>
        <w:tc>
          <w:tcPr/>
          <w:p>
            <w:pPr>
              <w:pStyle w:val="Compact"/>
              <w:jc w:val="left"/>
            </w:pPr>
            <w:r>
              <w:t xml:space="preserve">GOAL 9: Industry Innovation and Infrastructure</w:t>
            </w:r>
          </w:p>
        </w:tc>
        <w:tc>
          <w:tcPr/>
          <w:p>
            <w:pPr>
              <w:pStyle w:val="Compact"/>
              <w:jc w:val="left"/>
            </w:pPr>
            <w:r>
              <w:t xml:space="preserve">SDG Goal 9 data availability. Source: UN Global SDG Indicators Database</w:t>
            </w:r>
          </w:p>
        </w:tc>
        <w:tc>
          <w:tcPr/>
          <w:p>
            <w:pPr>
              <w:pStyle w:val="Compact"/>
              <w:jc w:val="left"/>
            </w:pPr>
            <w:r>
              <w:t xml:space="preserve">Fraction of Indicators in Goal 9 with value produced by country’s statistical system within a 5-year window.</w:t>
            </w:r>
          </w:p>
        </w:tc>
      </w:tr>
      <w:tr>
        <w:tc>
          <w:tcPr/>
          <w:p>
            <w:pPr>
              <w:pStyle w:val="Compact"/>
              <w:jc w:val="left"/>
            </w:pPr>
            <w:r>
              <w:t xml:space="preserve">GOAL 10: Reduced Inequality</w:t>
            </w:r>
          </w:p>
        </w:tc>
        <w:tc>
          <w:tcPr/>
          <w:p>
            <w:pPr>
              <w:pStyle w:val="Compact"/>
              <w:jc w:val="left"/>
            </w:pPr>
            <w:r>
              <w:t xml:space="preserve">SDG Goal 10 data availability. Source: UN Global SDG Indicators Database</w:t>
            </w:r>
          </w:p>
        </w:tc>
        <w:tc>
          <w:tcPr/>
          <w:p>
            <w:pPr>
              <w:pStyle w:val="Compact"/>
              <w:jc w:val="left"/>
            </w:pPr>
            <w:r>
              <w:t xml:space="preserve">Fraction of Indicators in Goal 10 with value produced by country’s statistical system within a 5-year window.</w:t>
            </w:r>
          </w:p>
        </w:tc>
      </w:tr>
      <w:tr>
        <w:tc>
          <w:tcPr/>
          <w:p>
            <w:pPr>
              <w:pStyle w:val="Compact"/>
              <w:jc w:val="left"/>
            </w:pPr>
            <w:r>
              <w:t xml:space="preserve">GOAL 11: Sustainable Cities and Communities</w:t>
            </w:r>
          </w:p>
        </w:tc>
        <w:tc>
          <w:tcPr/>
          <w:p>
            <w:pPr>
              <w:pStyle w:val="Compact"/>
              <w:jc w:val="left"/>
            </w:pPr>
            <w:r>
              <w:t xml:space="preserve">SDG Goal 11 data availability. Source: UN Global SDG Indicators Database</w:t>
            </w:r>
          </w:p>
        </w:tc>
        <w:tc>
          <w:tcPr/>
          <w:p>
            <w:pPr>
              <w:pStyle w:val="Compact"/>
              <w:jc w:val="left"/>
            </w:pPr>
            <w:r>
              <w:t xml:space="preserve">Fraction of Indicators in Goal 11 with value produced by country’s statistical system within a 5-year window.</w:t>
            </w:r>
          </w:p>
        </w:tc>
      </w:tr>
      <w:tr>
        <w:tc>
          <w:tcPr/>
          <w:p>
            <w:pPr>
              <w:pStyle w:val="Compact"/>
              <w:jc w:val="left"/>
            </w:pPr>
            <w:r>
              <w:t xml:space="preserve">GOAL 12: Responsible Consumption and Production</w:t>
            </w:r>
          </w:p>
        </w:tc>
        <w:tc>
          <w:tcPr/>
          <w:p>
            <w:pPr>
              <w:pStyle w:val="Compact"/>
              <w:jc w:val="left"/>
            </w:pPr>
            <w:r>
              <w:t xml:space="preserve">SDG Goal 12 data availability. Source: UN Global SDG Indicators Database</w:t>
            </w:r>
          </w:p>
        </w:tc>
        <w:tc>
          <w:tcPr/>
          <w:p>
            <w:pPr>
              <w:pStyle w:val="Compact"/>
              <w:jc w:val="left"/>
            </w:pPr>
            <w:r>
              <w:t xml:space="preserve">Fraction of Indicators in Goal 12 with value produced by country’s statistical system within a 5-year window.</w:t>
            </w:r>
          </w:p>
        </w:tc>
      </w:tr>
      <w:tr>
        <w:tc>
          <w:tcPr/>
          <w:p>
            <w:pPr>
              <w:pStyle w:val="Compact"/>
              <w:jc w:val="left"/>
            </w:pPr>
            <w:r>
              <w:t xml:space="preserve">GOAL 13: Climate Action</w:t>
            </w:r>
          </w:p>
        </w:tc>
        <w:tc>
          <w:tcPr/>
          <w:p>
            <w:pPr>
              <w:pStyle w:val="Compact"/>
              <w:jc w:val="left"/>
            </w:pPr>
            <w:r>
              <w:t xml:space="preserve">SDG Goal 13 data availability. Source: UN Global SDG Indicators Database</w:t>
            </w:r>
          </w:p>
        </w:tc>
        <w:tc>
          <w:tcPr/>
          <w:p>
            <w:pPr>
              <w:pStyle w:val="Compact"/>
              <w:jc w:val="left"/>
            </w:pPr>
            <w:r>
              <w:t xml:space="preserve">Fraction of Indicators in Goal 13 with value produced by country’s statistical system within a 5-year window.</w:t>
            </w:r>
          </w:p>
        </w:tc>
      </w:tr>
      <w:tr>
        <w:tc>
          <w:tcPr/>
          <w:p>
            <w:pPr>
              <w:pStyle w:val="Compact"/>
              <w:jc w:val="left"/>
            </w:pPr>
            <w:r>
              <w:t xml:space="preserve">GOAL 14: Life Below Water</w:t>
            </w:r>
          </w:p>
        </w:tc>
        <w:tc>
          <w:tcPr/>
          <w:p>
            <w:pPr>
              <w:pStyle w:val="Compact"/>
              <w:jc w:val="left"/>
            </w:pPr>
            <w:r>
              <w:t xml:space="preserve">SDG Goal 14 data availability. Source: UN Global SDG Indicators Database</w:t>
            </w:r>
          </w:p>
        </w:tc>
        <w:tc>
          <w:tcPr/>
          <w:p>
            <w:pPr>
              <w:pStyle w:val="Compact"/>
              <w:jc w:val="left"/>
            </w:pPr>
            <w:r>
              <w:t xml:space="preserve">Fraction of Indicators in Goal 14 with value produced by country’s statistical system within a 5-year window.</w:t>
            </w:r>
          </w:p>
        </w:tc>
      </w:tr>
      <w:tr>
        <w:tc>
          <w:tcPr/>
          <w:p>
            <w:pPr>
              <w:pStyle w:val="Compact"/>
              <w:jc w:val="left"/>
            </w:pPr>
            <w:r>
              <w:t xml:space="preserve">GOAL 15: Life on Land</w:t>
            </w:r>
          </w:p>
        </w:tc>
        <w:tc>
          <w:tcPr/>
          <w:p>
            <w:pPr>
              <w:pStyle w:val="Compact"/>
              <w:jc w:val="left"/>
            </w:pPr>
            <w:r>
              <w:t xml:space="preserve">SDG Goal 15 data availability. Source: UN Global SDG Indicators Database</w:t>
            </w:r>
          </w:p>
        </w:tc>
        <w:tc>
          <w:tcPr/>
          <w:p>
            <w:pPr>
              <w:pStyle w:val="Compact"/>
              <w:jc w:val="left"/>
            </w:pPr>
            <w:r>
              <w:t xml:space="preserve">Fraction of Indicators in Goal 15 with value produced by country’s statistical system within a 5-year window.</w:t>
            </w:r>
          </w:p>
        </w:tc>
      </w:tr>
      <w:tr>
        <w:tc>
          <w:tcPr/>
          <w:p>
            <w:pPr>
              <w:pStyle w:val="Compact"/>
              <w:jc w:val="left"/>
            </w:pPr>
            <w:r>
              <w:t xml:space="preserve">GOAL 16: Peace and Justice Strong Institutions</w:t>
            </w:r>
          </w:p>
        </w:tc>
        <w:tc>
          <w:tcPr/>
          <w:p>
            <w:pPr>
              <w:pStyle w:val="Compact"/>
              <w:jc w:val="left"/>
            </w:pPr>
            <w:r>
              <w:t xml:space="preserve">SDG Goal 16 data availability. Source: UN Global SDG Indicators Database</w:t>
            </w:r>
          </w:p>
        </w:tc>
        <w:tc>
          <w:tcPr/>
          <w:p>
            <w:pPr>
              <w:pStyle w:val="Compact"/>
              <w:jc w:val="left"/>
            </w:pPr>
            <w:r>
              <w:t xml:space="preserve">Fraction of Indicators in Goal 16 with value produced by country’s statistical system within a 5-year window.</w:t>
            </w:r>
          </w:p>
        </w:tc>
      </w:tr>
      <w:tr>
        <w:tc>
          <w:tcPr/>
          <w:p>
            <w:pPr>
              <w:pStyle w:val="Compact"/>
              <w:jc w:val="left"/>
            </w:pPr>
            <w:r>
              <w:t xml:space="preserve">GOAL 17: Partnerships to achieve the Goal</w:t>
            </w:r>
          </w:p>
        </w:tc>
        <w:tc>
          <w:tcPr/>
          <w:p>
            <w:pPr>
              <w:pStyle w:val="Compact"/>
              <w:jc w:val="left"/>
            </w:pPr>
            <w:r>
              <w:t xml:space="preserve">SDG Goal 17 data availability. Source: UN Global SDG Indicators Database</w:t>
            </w:r>
          </w:p>
        </w:tc>
        <w:tc>
          <w:tcPr/>
          <w:p>
            <w:pPr>
              <w:pStyle w:val="Compact"/>
              <w:jc w:val="left"/>
            </w:pPr>
            <w:r>
              <w:t xml:space="preserve">Fraction of Indicators in Goal 17 with value produced by country’s statistical system within a 5-year window.</w:t>
            </w:r>
          </w:p>
        </w:tc>
      </w:tr>
      <w:tr>
        <w:tc>
          <w:tcPr/>
          <w:p>
            <w:pPr>
              <w:pStyle w:val="Compact"/>
              <w:jc w:val="left"/>
            </w:pPr>
            <w:r>
              <w:t xml:space="preserve">Population &amp; Housing census (Availability score over 20 years)</w:t>
            </w:r>
          </w:p>
        </w:tc>
        <w:tc>
          <w:tcPr/>
          <w:p>
            <w:pPr>
              <w:pStyle w:val="Compact"/>
              <w:jc w:val="left"/>
            </w:pPr>
            <w:r>
              <w:t xml:space="preserve">Population censuses collect data on the size, distribution, and composition of population and provide sampling frames for household and other surveys.</w:t>
            </w:r>
          </w:p>
        </w:tc>
        <w:tc>
          <w:tcPr/>
          <w:p>
            <w:pPr>
              <w:pStyle w:val="Compact"/>
              <w:jc w:val="left"/>
            </w:pPr>
            <w:r>
              <w:t xml:space="preserve">1 Point. Population census done within last 10 years. 0.5 Points. Population census done within last 20 years. 0 Points. Otherwise.</w:t>
            </w:r>
          </w:p>
        </w:tc>
      </w:tr>
      <w:tr>
        <w:tc>
          <w:tcPr/>
          <w:p>
            <w:pPr>
              <w:pStyle w:val="Compact"/>
              <w:jc w:val="left"/>
            </w:pPr>
            <w:r>
              <w:t xml:space="preserve">Agriculture census (Availability score over 20 years)</w:t>
            </w:r>
          </w:p>
        </w:tc>
        <w:tc>
          <w:tcPr/>
          <w:p>
            <w:pPr>
              <w:pStyle w:val="Compact"/>
              <w:jc w:val="left"/>
            </w:pPr>
            <w:r>
              <w:t xml:space="preserve">Agriculture censuses collect information on agricultural activities such as size of holding, land tenure, land use, employment, and production.</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Business/establishment census (Availability score over 20 years)</w:t>
            </w:r>
          </w:p>
        </w:tc>
        <w:tc>
          <w:tcPr/>
          <w:p>
            <w:pPr>
              <w:pStyle w:val="Compact"/>
              <w:jc w:val="left"/>
            </w:pPr>
            <w:r>
              <w:t xml:space="preserve">Business/establishment censuses provide valuable information on all economic activities, number of employed, and size of establishments.</w:t>
            </w:r>
          </w:p>
        </w:tc>
        <w:tc>
          <w:tcPr/>
          <w:p>
            <w:pPr>
              <w:pStyle w:val="Compact"/>
              <w:jc w:val="left"/>
            </w:pPr>
            <w:r>
              <w:t xml:space="preserve">1 Point. Census done within last 10 years. 0.5 Points. Census done within last 20 years. 0 Points. Otherwise.</w:t>
            </w:r>
          </w:p>
        </w:tc>
      </w:tr>
      <w:tr>
        <w:tc>
          <w:tcPr/>
          <w:p>
            <w:pPr>
              <w:pStyle w:val="Compact"/>
              <w:jc w:val="left"/>
            </w:pPr>
            <w:r>
              <w:t xml:space="preserve">Household Survey on income etc. (Availability score over 10 years)</w:t>
            </w:r>
          </w:p>
        </w:tc>
        <w:tc>
          <w:tcPr/>
          <w:p>
            <w:pPr>
              <w:pStyle w:val="Compact"/>
              <w:jc w:val="left"/>
            </w:pPr>
            <w:r>
              <w:t xml:space="preserve">These surveys collect data on household income (including income in kind), consumption, and expenditure. It is recommended that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Agriculture survey (Availability score over 10 years)</w:t>
            </w:r>
          </w:p>
        </w:tc>
        <w:tc>
          <w:tcPr/>
          <w:p>
            <w:pPr>
              <w:pStyle w:val="Compact"/>
              <w:jc w:val="left"/>
            </w:pPr>
            <w:r>
              <w:t xml:space="preserve">Agricultural surveys refer to surveys of agricultural holdings based on the sampling frames established by the agricultural census.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Labor Force Survey (Availability score over 10 years)</w:t>
            </w:r>
          </w:p>
        </w:tc>
        <w:tc>
          <w:tcPr/>
          <w:p>
            <w:pPr>
              <w:pStyle w:val="Compact"/>
              <w:jc w:val="left"/>
            </w:pPr>
            <w:r>
              <w:t xml:space="preserve">Labor force survey is a standard household-based survey of work-related statistics at the national and sub-national level.</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Health/Demographic survey (Availability score over 10 years)</w:t>
            </w:r>
          </w:p>
        </w:tc>
        <w:tc>
          <w:tcPr/>
          <w:p>
            <w:pPr>
              <w:pStyle w:val="Compact"/>
              <w:jc w:val="left"/>
            </w:pPr>
            <w:r>
              <w:t xml:space="preserve">Health surveys collect information on various aspects of health of populations. It is recommended that health surveys be conducted at least every 3 to 5 years.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Business/establishment survey (Availability score over 10 years)</w:t>
            </w:r>
          </w:p>
        </w:tc>
        <w:tc>
          <w:tcPr/>
          <w:p>
            <w:pPr>
              <w:pStyle w:val="Compact"/>
              <w:jc w:val="left"/>
            </w:pPr>
            <w:r>
              <w:t xml:space="preserve">The business/establishment survey provides information on employment, hours, and earnings of employees from a sample of business establishments.</w:t>
            </w:r>
          </w:p>
        </w:tc>
        <w:tc>
          <w:tcPr/>
          <w:p>
            <w:pPr>
              <w:pStyle w:val="Compact"/>
              <w:jc w:val="left"/>
            </w:pPr>
            <w:r>
              <w:t xml:space="preserve">1 Point. 3 or more surveys done within past 10 years. 0.67 Points. 2 surveys done within past 10 years. 0.33 Points. 1 survey done within past 10 years. 0 Points. None within past 10 years.</w:t>
            </w:r>
          </w:p>
        </w:tc>
      </w:tr>
      <w:tr>
        <w:tc>
          <w:tcPr/>
          <w:p>
            <w:pPr>
              <w:pStyle w:val="Compact"/>
              <w:jc w:val="left"/>
            </w:pPr>
            <w:r>
              <w:t xml:space="preserve">Social Protection Admin (ASPIRE)</w:t>
            </w:r>
          </w:p>
        </w:tc>
        <w:tc>
          <w:tcPr/>
          <w:p>
            <w:pPr>
              <w:pStyle w:val="Compact"/>
              <w:jc w:val="left"/>
            </w:pPr>
            <w:r>
              <w:t xml:space="preserve">Administrative data available on social protection programs from ASPIRE (World Bank) databases</w:t>
            </w:r>
          </w:p>
        </w:tc>
        <w:tc>
          <w:tcPr/>
          <w:p>
            <w:pPr>
              <w:pStyle w:val="Compact"/>
              <w:jc w:val="left"/>
            </w:pPr>
            <w:r>
              <w:t xml:space="preserve">Scoring is 1 if administrative data is available to produce beneficiary counts or expenditures for any social protection and labor program. 0 otherwise.</w:t>
            </w:r>
          </w:p>
        </w:tc>
      </w:tr>
      <w:tr>
        <w:tc>
          <w:tcPr/>
          <w:p>
            <w:pPr>
              <w:pStyle w:val="Compact"/>
              <w:jc w:val="left"/>
            </w:pPr>
            <w:r>
              <w:t xml:space="preserve">Civil Registration and Vital Statistics (CRVS) system</w:t>
            </w:r>
          </w:p>
        </w:tc>
        <w:tc>
          <w:tcPr/>
          <w:p>
            <w:pPr>
              <w:pStyle w:val="Compact"/>
              <w:jc w:val="left"/>
            </w:pPr>
            <w:r>
              <w:t xml:space="preserve">Birth registrations 90% complete and death registration 75% complete according to UNSD.</w:t>
            </w:r>
          </w:p>
        </w:tc>
        <w:tc>
          <w:tcPr/>
          <w:p>
            <w:pPr>
              <w:pStyle w:val="Compact"/>
              <w:jc w:val="left"/>
            </w:pPr>
            <w:r>
              <w:t xml:space="preserve">Score is 1 if both complete. 0.5 if one of two is complete. 0 if neither complete.</w:t>
            </w:r>
          </w:p>
        </w:tc>
      </w:tr>
      <w:tr>
        <w:tc>
          <w:tcPr/>
          <w:p>
            <w:pPr>
              <w:pStyle w:val="Compact"/>
              <w:jc w:val="left"/>
            </w:pPr>
            <w:r>
              <w:t xml:space="preserve">Geospatial data available at 1st Admin Level</w:t>
            </w:r>
          </w:p>
        </w:tc>
        <w:tc>
          <w:tcPr/>
          <w:p>
            <w:pPr>
              <w:pStyle w:val="Compact"/>
              <w:jc w:val="left"/>
            </w:pPr>
            <w:r>
              <w:t xml:space="preserve">Indicator data availability at sub-national levels</w:t>
            </w:r>
          </w:p>
        </w:tc>
        <w:tc>
          <w:tcPr/>
          <w:p>
            <w:pPr>
              <w:pStyle w:val="Compact"/>
              <w:jc w:val="left"/>
            </w:pPr>
            <w:r>
              <w:t xml:space="preserve">Our source for this indicator is Open Data Watch. Indicator is whether data is available at the first administrative level. Scores range from 0-100.</w:t>
            </w:r>
          </w:p>
        </w:tc>
      </w:tr>
      <w:tr>
        <w:tc>
          <w:tcPr/>
          <w:p>
            <w:pPr>
              <w:pStyle w:val="Compact"/>
              <w:jc w:val="left"/>
            </w:pPr>
            <w:r>
              <w:t xml:space="preserve">Legislation Indicator based on PARIS21 indicators on SDG 17.18.2</w:t>
            </w:r>
          </w:p>
        </w:tc>
        <w:tc>
          <w:tcPr/>
          <w:p>
            <w:pPr>
              <w:pStyle w:val="Compact"/>
              <w:jc w:val="left"/>
            </w:pPr>
            <w:r>
              <w:t xml:space="preserve">Existence of National Statistical Council, national statistical strategy, and plan. Also includes legislative aspects such as freedom of information, privacy, and good governance.</w:t>
            </w:r>
          </w:p>
        </w:tc>
        <w:tc>
          <w:tcPr/>
          <w:p>
            <w:pPr>
              <w:pStyle w:val="Compact"/>
              <w:jc w:val="left"/>
            </w:pPr>
            <w:r>
              <w:t xml:space="preserve">Score is 1 if the country has a national statistical legislation compliant with UN Fundamental Principles of Statistics. 0 otherwise.</w:t>
            </w:r>
          </w:p>
        </w:tc>
      </w:tr>
      <w:tr>
        <w:tc>
          <w:tcPr/>
          <w:p>
            <w:pPr>
              <w:pStyle w:val="Compact"/>
              <w:jc w:val="left"/>
            </w:pPr>
            <w:r>
              <w:t xml:space="preserve">System of national accounts in use</w:t>
            </w:r>
          </w:p>
        </w:tc>
        <w:tc>
          <w:tcPr/>
          <w:p>
            <w:pPr>
              <w:pStyle w:val="Compact"/>
              <w:jc w:val="left"/>
            </w:pPr>
            <w:r>
              <w:t xml:space="preserve">The national accounts data are compiled using the System of National Account 2008 (SNA2008) or European System of National and Regional Accounts (ESA 2010).</w:t>
            </w:r>
          </w:p>
        </w:tc>
        <w:tc>
          <w:tcPr/>
          <w:p>
            <w:pPr>
              <w:pStyle w:val="Compact"/>
              <w:jc w:val="left"/>
            </w:pPr>
            <w:r>
              <w:t xml:space="preserve">1 point for using SNA2008 or ESA 2010. 0.5 points for using SNA 1993 or ESA 1995. 0 points otherwise.</w:t>
            </w:r>
          </w:p>
        </w:tc>
      </w:tr>
      <w:tr>
        <w:tc>
          <w:tcPr/>
          <w:p>
            <w:pPr>
              <w:pStyle w:val="Compact"/>
              <w:jc w:val="left"/>
            </w:pPr>
            <w:r>
              <w:t xml:space="preserve">National Accounts base year</w:t>
            </w:r>
          </w:p>
        </w:tc>
        <w:tc>
          <w:tcPr/>
          <w:p>
            <w:pPr>
              <w:pStyle w:val="Compact"/>
              <w:jc w:val="left"/>
            </w:pPr>
            <w:r>
              <w:t xml:space="preserve">National accounts base year is the year used for constant price calculations.</w:t>
            </w:r>
          </w:p>
        </w:tc>
        <w:tc>
          <w:tcPr/>
          <w:p>
            <w:pPr>
              <w:pStyle w:val="Compact"/>
              <w:jc w:val="left"/>
            </w:pPr>
            <w:r>
              <w:t xml:space="preserve">1 point for chained price. 0.5 for reference period within past 10 years. 0 points otherwise.</w:t>
            </w:r>
          </w:p>
        </w:tc>
      </w:tr>
      <w:tr>
        <w:tc>
          <w:tcPr/>
          <w:p>
            <w:pPr>
              <w:pStyle w:val="Compact"/>
              <w:jc w:val="left"/>
            </w:pPr>
            <w:r>
              <w:t xml:space="preserve">Classification of national industry</w:t>
            </w:r>
          </w:p>
        </w:tc>
        <w:tc>
          <w:tcPr/>
          <w:p>
            <w:pPr>
              <w:pStyle w:val="Compact"/>
              <w:jc w:val="left"/>
            </w:pPr>
            <w:r>
              <w:t xml:space="preserve">The industrial production data are compiled using International Standard Industrial Classification (ISIC) Rev.4 or Statistical Classification of Economic Activities in the European Community (NACE) Rev.2.</w:t>
            </w:r>
          </w:p>
        </w:tc>
        <w:tc>
          <w:tcPr/>
          <w:p>
            <w:pPr>
              <w:pStyle w:val="Compact"/>
              <w:jc w:val="left"/>
            </w:pPr>
            <w:r>
              <w:t xml:space="preserve">1 Point. Latest version adopted. 0.5 Points. Previous version. 0 Points otherwise.</w:t>
            </w:r>
          </w:p>
        </w:tc>
      </w:tr>
      <w:tr>
        <w:tc>
          <w:tcPr/>
          <w:p>
            <w:pPr>
              <w:pStyle w:val="Compact"/>
              <w:jc w:val="left"/>
            </w:pPr>
            <w:r>
              <w:t xml:space="preserve">CPI base year</w:t>
            </w:r>
          </w:p>
        </w:tc>
        <w:tc>
          <w:tcPr/>
          <w:p>
            <w:pPr>
              <w:pStyle w:val="Compact"/>
              <w:jc w:val="left"/>
            </w:pPr>
            <w:r>
              <w:t xml:space="preserve">Consumer Price Index reflects changes in the cost of acquiring a fixed basket of goods and services by the average consumer.</w:t>
            </w:r>
          </w:p>
        </w:tc>
        <w:tc>
          <w:tcPr/>
          <w:p>
            <w:pPr>
              <w:pStyle w:val="Compact"/>
              <w:jc w:val="left"/>
            </w:pPr>
            <w:r>
              <w:t xml:space="preserve">1 Point. Annual chain linking. 0.5 Points. Base year in last 10 years. 0 Points otherwise.</w:t>
            </w:r>
          </w:p>
        </w:tc>
      </w:tr>
      <w:tr>
        <w:tc>
          <w:tcPr/>
          <w:p>
            <w:pPr>
              <w:pStyle w:val="Compact"/>
              <w:jc w:val="left"/>
            </w:pPr>
            <w:r>
              <w:t xml:space="preserve">Classification of household consumption</w:t>
            </w:r>
          </w:p>
        </w:tc>
        <w:tc>
          <w:tcPr/>
          <w:p>
            <w:pPr>
              <w:pStyle w:val="Compact"/>
              <w:jc w:val="left"/>
            </w:pPr>
            <w:r>
              <w:t xml:space="preserve">Classification of Individual Consumption According to Purpose (COICOP) used in household budget surveys and international GDP comparisons.</w:t>
            </w:r>
          </w:p>
        </w:tc>
        <w:tc>
          <w:tcPr/>
          <w:p>
            <w:pPr>
              <w:pStyle w:val="Compact"/>
              <w:jc w:val="left"/>
            </w:pPr>
            <w:r>
              <w:t xml:space="preserve">1 Point. Follow COICOP. 0 Points otherwise.</w:t>
            </w:r>
          </w:p>
        </w:tc>
      </w:tr>
      <w:tr>
        <w:tc>
          <w:tcPr/>
          <w:p>
            <w:pPr>
              <w:pStyle w:val="Compact"/>
              <w:jc w:val="left"/>
            </w:pPr>
            <w:r>
              <w:t xml:space="preserve">Classification of status of employment</w:t>
            </w:r>
          </w:p>
        </w:tc>
        <w:tc>
          <w:tcPr/>
          <w:p>
            <w:pPr>
              <w:pStyle w:val="Compact"/>
              <w:jc w:val="left"/>
            </w:pPr>
            <w:r>
              <w:t xml:space="preserve">Classification of status of employment data using the International Classification of Status in Employment (ISCE-93).</w:t>
            </w:r>
          </w:p>
        </w:tc>
        <w:tc>
          <w:tcPr/>
          <w:p>
            <w:pPr>
              <w:pStyle w:val="Compact"/>
              <w:jc w:val="left"/>
            </w:pPr>
            <w:r>
              <w:t xml:space="preserve">1 Point. Follow ISCE-93 or 2012 North American Industry Classification System (NAICS). 0 Points otherwise.</w:t>
            </w:r>
          </w:p>
        </w:tc>
      </w:tr>
      <w:tr>
        <w:tc>
          <w:tcPr/>
          <w:p>
            <w:pPr>
              <w:pStyle w:val="Compact"/>
              <w:jc w:val="left"/>
            </w:pPr>
            <w:r>
              <w:t xml:space="preserve">Central government accounting status</w:t>
            </w:r>
          </w:p>
        </w:tc>
        <w:tc>
          <w:tcPr/>
          <w:p>
            <w:pPr>
              <w:pStyle w:val="Compact"/>
              <w:jc w:val="left"/>
            </w:pPr>
            <w:r>
              <w:t xml:space="preserve">Government finance accounting status follows noncash recording basis.</w:t>
            </w:r>
          </w:p>
        </w:tc>
        <w:tc>
          <w:tcPr/>
          <w:p>
            <w:pPr>
              <w:pStyle w:val="Compact"/>
              <w:jc w:val="left"/>
            </w:pPr>
            <w:r>
              <w:t xml:space="preserve">1 Point. Follows noncash recording basis. 0.5 Points. Follows cash recording basis. 0 Points otherwise.</w:t>
            </w:r>
          </w:p>
        </w:tc>
      </w:tr>
      <w:tr>
        <w:tc>
          <w:tcPr/>
          <w:p>
            <w:pPr>
              <w:pStyle w:val="Compact"/>
              <w:jc w:val="left"/>
            </w:pPr>
            <w:r>
              <w:t xml:space="preserve">Compilation of government finance statistics</w:t>
            </w:r>
          </w:p>
        </w:tc>
        <w:tc>
          <w:tcPr/>
          <w:p>
            <w:pPr>
              <w:pStyle w:val="Compact"/>
              <w:jc w:val="left"/>
            </w:pPr>
            <w:r>
              <w:t xml:space="preserve">Compilation of government finance statistics follows the Government Finance Statistics Manual (GFSM).</w:t>
            </w:r>
          </w:p>
        </w:tc>
        <w:tc>
          <w:tcPr/>
          <w:p>
            <w:pPr>
              <w:pStyle w:val="Compact"/>
              <w:jc w:val="left"/>
            </w:pPr>
            <w:r>
              <w:t xml:space="preserve">1 Point. Follows GFSM 2014. 0.5 Points. Follows GFSM 2001. 0 Points otherwise.</w:t>
            </w:r>
          </w:p>
        </w:tc>
      </w:tr>
      <w:tr>
        <w:tc>
          <w:tcPr/>
          <w:p>
            <w:pPr>
              <w:pStyle w:val="Compact"/>
              <w:jc w:val="left"/>
            </w:pPr>
            <w:r>
              <w:t xml:space="preserve">Compilation of monetary and financial statistics</w:t>
            </w:r>
          </w:p>
        </w:tc>
        <w:tc>
          <w:tcPr/>
          <w:p>
            <w:pPr>
              <w:pStyle w:val="Compact"/>
              <w:jc w:val="left"/>
            </w:pPr>
            <w:r>
              <w:t xml:space="preserve">Compilation of monetary and financial statistics follows the Monetary and Financial Statistics Manual (MFSM).</w:t>
            </w:r>
          </w:p>
        </w:tc>
        <w:tc>
          <w:tcPr/>
          <w:p>
            <w:pPr>
              <w:pStyle w:val="Compact"/>
              <w:jc w:val="left"/>
            </w:pPr>
            <w:r>
              <w:t xml:space="preserve">1 Point. Follows MFSM 2000 or the Compilation Guide (2008/2016). 0 Points otherwise.</w:t>
            </w:r>
          </w:p>
        </w:tc>
      </w:tr>
      <w:tr>
        <w:tc>
          <w:tcPr/>
          <w:p>
            <w:pPr>
              <w:pStyle w:val="Compact"/>
              <w:jc w:val="left"/>
            </w:pPr>
            <w:r>
              <w:t xml:space="preserve">Business process</w:t>
            </w:r>
          </w:p>
        </w:tc>
        <w:tc>
          <w:tcPr/>
          <w:p>
            <w:pPr>
              <w:pStyle w:val="Compact"/>
              <w:jc w:val="left"/>
            </w:pPr>
            <w:r>
              <w:t xml:space="preserve">The Generic Statistical Business Process Model (GSBPM) describes statistics production in a general and process-oriented way.</w:t>
            </w:r>
          </w:p>
        </w:tc>
        <w:tc>
          <w:tcPr/>
          <w:p>
            <w:pPr>
              <w:pStyle w:val="Compact"/>
              <w:jc w:val="left"/>
            </w:pPr>
            <w:r>
              <w:t xml:space="preserve">1 Point. GSBPM is in use. 0 Points otherwise.</w:t>
            </w:r>
          </w:p>
        </w:tc>
      </w:tr>
      <w:tr>
        <w:tc>
          <w:tcPr/>
          <w:p>
            <w:pPr>
              <w:pStyle w:val="Compact"/>
              <w:jc w:val="left"/>
            </w:pPr>
            <w:r>
              <w:t xml:space="preserve">Finance Indicator based on PARIS21 indicators on SDG 17.18.3 &amp; SDG 17.19.1</w:t>
            </w:r>
          </w:p>
        </w:tc>
        <w:tc>
          <w:tcPr/>
          <w:p>
            <w:pPr>
              <w:pStyle w:val="Compact"/>
              <w:jc w:val="left"/>
            </w:pPr>
            <w:r>
              <w:t xml:space="preserve">Indicator based on PARIS21 SDG indicators (national statistical plan that is fully funded and under implementation).</w:t>
            </w:r>
          </w:p>
        </w:tc>
        <w:tc>
          <w:tcPr/>
          <w:p>
            <w:pPr>
              <w:pStyle w:val="Compact"/>
              <w:jc w:val="left"/>
            </w:pPr>
            <w:r>
              <w:t xml:space="preserve">Score is 1 if the country has a national statistical plan that is fully funded and under implementation. 0 otherwise.</w:t>
            </w:r>
          </w:p>
        </w:tc>
      </w:tr>
    </w:tbl>
    <w:bookmarkEnd w:id="95"/>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C640E"/>
    <w:rsid w:val="00053E25"/>
    <w:rsid w:val="001A3C6C"/>
    <w:rsid w:val="002364D5"/>
    <w:rsid w:val="002E5835"/>
    <w:rsid w:val="005228C1"/>
    <w:rsid w:val="005848ED"/>
    <w:rsid w:val="006C640E"/>
    <w:rsid w:val="007F637B"/>
    <w:rsid w:val="00A57132"/>
    <w:rsid w:val="00B52C0E"/>
    <w:rsid w:val="00C12F28"/>
    <w:rsid w:val="00F6096A"/>
    <w:rsid w:val="00FF01EE"/>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iresearch.worldbank.org/PIP" TargetMode="External"/><Relationship Id="rId3" Type="http://schemas.openxmlformats.org/officeDocument/2006/relationships/settings" Target="settings.xml"/><Relationship Id="rId47" Type="http://schemas.openxmlformats.org/officeDocument/2006/relationships/image" Target="media/rId47.png"/><Relationship Id="rId50" Type="http://schemas.openxmlformats.org/officeDocument/2006/relationships/image" Target="media/rId50.png"/><Relationship Id="rId68" Type="http://schemas.openxmlformats.org/officeDocument/2006/relationships/image" Target="media/rId68.png"/><Relationship Id="rId76" Type="http://schemas.openxmlformats.org/officeDocument/2006/relationships/image" Target="media/rId76.png"/><Relationship Id="rId89" Type="http://schemas.openxmlformats.org/officeDocument/2006/relationships/customXml" Target="../customXml/item1.xml"/><Relationship Id="rId7" Type="http://schemas.openxmlformats.org/officeDocument/2006/relationships/footnotes" Target="footnotes.xml"/><Relationship Id="rId71" Type="http://schemas.openxmlformats.org/officeDocument/2006/relationships/image" Target="media/rId71.png"/><Relationship Id="rId33" Type="http://schemas.openxmlformats.org/officeDocument/2006/relationships/image" Target="media/rId33.png"/><Relationship Id="rId2" Type="http://schemas.openxmlformats.org/officeDocument/2006/relationships/styles" Target="styles.xml"/><Relationship Id="rId54" Type="http://schemas.openxmlformats.org/officeDocument/2006/relationships/image" Target="media/rId54.png"/><Relationship Id="rId88" Type="http://schemas.openxmlformats.org/officeDocument/2006/relationships/image" Target="media/rId88.png"/><Relationship Id="rId29" Type="http://schemas.openxmlformats.org/officeDocument/2006/relationships/hyperlink" Target="https://www.ilo.org/ilostat-files/Documents/TEM.pdf" TargetMode="External"/><Relationship Id="rId20" Type="http://schemas.openxmlformats.org/officeDocument/2006/relationships/hyperlink" Target="https://www.nature.com/articles/s41597-023-01971-0" TargetMode="External"/><Relationship Id="rId91" Type="http://schemas.openxmlformats.org/officeDocument/2006/relationships/customXml" Target="../customXml/item3.xml"/><Relationship Id="rId1" Type="http://schemas.openxmlformats.org/officeDocument/2006/relationships/numbering" Target="numbering.xml"/><Relationship Id="rId6" Type="http://schemas.openxmlformats.org/officeDocument/2006/relationships/theme" Target="theme/theme1.xml"/><Relationship Id="rId40" Type="http://schemas.openxmlformats.org/officeDocument/2006/relationships/image" Target="media/rId40.png"/><Relationship Id="rId79" Type="http://schemas.openxmlformats.org/officeDocument/2006/relationships/image" Target="media/rId79.png"/><Relationship Id="rId5" Type="http://schemas.openxmlformats.org/officeDocument/2006/relationships/fontTable" Target="fontTable.xml"/><Relationship Id="rId57" Type="http://schemas.openxmlformats.org/officeDocument/2006/relationships/image" Target="media/rId57.png"/><Relationship Id="rId61" Type="http://schemas.openxmlformats.org/officeDocument/2006/relationships/image" Target="media/rId61.png"/><Relationship Id="rId82" Type="http://schemas.openxmlformats.org/officeDocument/2006/relationships/image" Target="media/rId82.png"/><Relationship Id="rId36" Type="http://schemas.openxmlformats.org/officeDocument/2006/relationships/image" Target="media/rId36.png"/><Relationship Id="rId28" Type="http://schemas.openxmlformats.org/officeDocument/2006/relationships/hyperlink" Target="https://washdata.org/" TargetMode="External"/><Relationship Id="rId90" Type="http://schemas.openxmlformats.org/officeDocument/2006/relationships/customXml" Target="../customXml/item2.xml"/><Relationship Id="rId31" Type="http://schemas.openxmlformats.org/officeDocument/2006/relationships/hyperlink" Target="https://www.oecd.org/sdd/measuring-distance-to-the-sdg-targets-2019-a8caf3fa-en.htm" TargetMode="External"/><Relationship Id="rId4" Type="http://schemas.openxmlformats.org/officeDocument/2006/relationships/webSettings" Target="webSettings.xml"/><Relationship Id="rId43" Type="http://schemas.openxmlformats.org/officeDocument/2006/relationships/image" Target="media/rId43.png"/><Relationship Id="rId64" Type="http://schemas.openxmlformats.org/officeDocument/2006/relationships/image" Target="media/rId64.png"/><Relationship Id="rId27" Type="http://schemas.openxmlformats.org/officeDocument/2006/relationships/hyperlink" Target="https://childmortality.org/" TargetMode="External"/><Relationship Id="rId30" Type="http://schemas.openxmlformats.org/officeDocument/2006/relationships/hyperlink" Target="https://docs.google.com/document/d/1MBK0hN6MoQrii7_E1bmRXmsUcE8Fbb-Q32nxm8d8qTw/edit" TargetMode="External"/><Relationship Id="rId8" Type="http://schemas.openxmlformats.org/officeDocument/2006/relationships/comments" Target="comments.xml"/><Relationship Id="rId85" Type="http://schemas.openxmlformats.org/officeDocument/2006/relationships/image" Target="media/rId85.png"/></Relationships>
</file>

<file path=word/_rels/footnotes.xml.rels><?xml version="1.0" encoding="UTF-8"?><Relationships xmlns="http://schemas.openxmlformats.org/package/2006/relationships"><Relationship Type="http://schemas.openxmlformats.org/officeDocument/2006/relationships/hyperlink" Id="rId26" Target="http://iresearch.worldbank.org/PIP" TargetMode="External" /><Relationship Type="http://schemas.openxmlformats.org/officeDocument/2006/relationships/hyperlink" Id="rId27" Target="https://childmortality.org/" TargetMode="External" /><Relationship Type="http://schemas.openxmlformats.org/officeDocument/2006/relationships/hyperlink" Id="rId30" Target="https://docs.google.com/document/d/1MBK0hN6MoQrii7_E1bmRXmsUcE8Fbb-Q32nxm8d8qTw/edit" TargetMode="External" /><Relationship Type="http://schemas.openxmlformats.org/officeDocument/2006/relationships/hyperlink" Id="rId28" Target="https://washdata.org/" TargetMode="External" /><Relationship Type="http://schemas.openxmlformats.org/officeDocument/2006/relationships/hyperlink" Id="rId29" Target="https://www.ilo.org/ilostat-files/Documents/TEM.pdf" TargetMode="External" /><Relationship Type="http://schemas.openxmlformats.org/officeDocument/2006/relationships/hyperlink" Id="rId20" Target="https://www.nature.com/articles/s41597-023-01971-0" TargetMode="External" /><Relationship Type="http://schemas.openxmlformats.org/officeDocument/2006/relationships/hyperlink" Id="rId31"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DB9CD767C4FF34281D6635032C5B89D" ma:contentTypeVersion="12" ma:contentTypeDescription="Create a new document." ma:contentTypeScope="" ma:versionID="125f104983f93e8f1d26cf939b860f6e">
  <xsd:schema xmlns:xsd="http://www.w3.org/2001/XMLSchema" xmlns:xs="http://www.w3.org/2001/XMLSchema" xmlns:p="http://schemas.microsoft.com/office/2006/metadata/properties" xmlns:ns2="b19ad29f-88fa-4d62-ac16-34b992563bf9" xmlns:ns3="e781ea9d-1795-4792-8d8d-c86ae526af93" targetNamespace="http://schemas.microsoft.com/office/2006/metadata/properties" ma:root="true" ma:fieldsID="70be29ac5d94c7be42394728a88114c3" ns2:_="" ns3:_="">
    <xsd:import namespace="b19ad29f-88fa-4d62-ac16-34b992563bf9"/>
    <xsd:import namespace="e781ea9d-1795-4792-8d8d-c86ae526af93"/>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SearchProperties" minOccurs="0"/>
                <xsd:element ref="ns2:MediaServiceObjectDetectorVersion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9ad29f-88fa-4d62-ac16-34b992563b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781ea9d-1795-4792-8d8d-c86ae526af93"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4D4AEF80-35DA-4DD3-8903-F441FCC8CE86}"/>
</file>

<file path=customXml/itemProps2.xml><?xml version="1.0" encoding="utf-8"?>
<ds:datastoreItem xmlns:ds="http://schemas.openxmlformats.org/officeDocument/2006/customXml" ds:itemID="{41C1A7C2-2295-42FF-ABC0-698CD93C8119}"/>
</file>

<file path=customXml/itemProps3.xml><?xml version="1.0" encoding="utf-8"?>
<ds:datastoreItem xmlns:ds="http://schemas.openxmlformats.org/officeDocument/2006/customXml" ds:itemID="{13ABBA38-8DEE-4A26-AA3F-10817B87DCA9}"/>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2024-11-01T10:24:03Z</dcterms:created>
  <dcterms:modified xsi:type="dcterms:W3CDTF">2024-11-01T10:24:03Z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header-includes">
    <vt:lpwstr/>
  </property>
  <property fmtid="{D5CDD505-2E9C-101B-9397-08002B2CF9AE}" pid="4" name="include-after">
    <vt:lpwstr/>
  </property>
  <property fmtid="{D5CDD505-2E9C-101B-9397-08002B2CF9AE}" pid="5" name="include-before">
    <vt:lpwstr/>
  </property>
  <property fmtid="{D5CDD505-2E9C-101B-9397-08002B2CF9AE}" pid="6" name="labels">
    <vt:lpwstr/>
  </property>
  <property fmtid="{D5CDD505-2E9C-101B-9397-08002B2CF9AE}" pid="7" name="number_sections">
    <vt:lpwstr>False</vt:lpwstr>
  </property>
  <property fmtid="{D5CDD505-2E9C-101B-9397-08002B2CF9AE}" pid="8" name="params">
    <vt:lpwstr/>
  </property>
  <property fmtid="{D5CDD505-2E9C-101B-9397-08002B2CF9AE}" pid="9" name="subtitle">
    <vt:lpwstr>Cuba Country Report</vt:lpwstr>
  </property>
  <property fmtid="{D5CDD505-2E9C-101B-9397-08002B2CF9AE}" pid="10" name="toc-title">
    <vt:lpwstr>Table of contents</vt:lpwstr>
  </property>
  <property fmtid="{D5CDD505-2E9C-101B-9397-08002B2CF9AE}" pid="11" name="ContentTypeId">
    <vt:lpwstr>0x010100ADB9CD767C4FF34281D6635032C5B89D</vt:lpwstr>
  </property>
</Properties>
</file>