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4830" w14:textId="77777777" w:rsidR="00F3183D" w:rsidRDefault="00000000">
      <w:pPr>
        <w:pStyle w:val="Title"/>
      </w:pPr>
      <w:r>
        <w:t>Statistical Performance Indicators</w:t>
      </w:r>
    </w:p>
    <w:p w14:paraId="2A414831" w14:textId="77777777" w:rsidR="00F3183D" w:rsidRDefault="00000000">
      <w:pPr>
        <w:pStyle w:val="Subtitle"/>
      </w:pPr>
      <w:r>
        <w:t>Sri Lanka Country Report</w:t>
      </w:r>
    </w:p>
    <w:p w14:paraId="2A414832" w14:textId="77777777" w:rsidR="00F3183D" w:rsidRDefault="00000000">
      <w:pPr>
        <w:pStyle w:val="Heading1"/>
      </w:pPr>
      <w:bookmarkStart w:id="0" w:name="introduction"/>
      <w:r>
        <w:t>Introduction</w:t>
      </w:r>
    </w:p>
    <w:p w14:paraId="2A414833" w14:textId="77777777" w:rsidR="00F3183D" w:rsidRDefault="00000000">
      <w:pPr>
        <w:pStyle w:val="FirstParagraph"/>
      </w:pPr>
      <w:r>
        <w:t xml:space="preserve">Sri Lanka received a score of 74.9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 </w:t>
      </w:r>
      <w:hyperlink r:id="rId7">
        <w:r>
          <w:rPr>
            <w:rStyle w:val="Hyperlink"/>
          </w:rPr>
          <w:t>journal article</w:t>
        </w:r>
      </w:hyperlink>
      <w:r>
        <w:t xml:space="preserve"> published in the journal Nature: Scientific Data.</w:t>
      </w:r>
    </w:p>
    <w:p w14:paraId="2A414834" w14:textId="77777777" w:rsidR="00F3183D" w:rsidRDefault="00000000">
      <w:pPr>
        <w:pStyle w:val="Heading2"/>
      </w:pPr>
      <w:bookmarkStart w:id="1" w:name="pillar-1-data-use"/>
      <w:r>
        <w:t>Pillar 1: Data use</w:t>
      </w:r>
    </w:p>
    <w:p w14:paraId="2A414835" w14:textId="77777777" w:rsidR="00F3183D" w:rsidRDefault="00000000">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 </w:t>
      </w:r>
      <w:r>
        <w:rPr>
          <w:b/>
          <w:bCs/>
        </w:rPr>
        <w:t>Sri Lanka received a score of 90 out of 100 for 2024 on the World Bank’s SPI Pillar 1 score.</w:t>
      </w:r>
    </w:p>
    <w:p w14:paraId="2A414836" w14:textId="77777777" w:rsidR="00F3183D" w:rsidRDefault="00000000">
      <w:pPr>
        <w:pStyle w:val="Heading2"/>
      </w:pPr>
      <w:bookmarkStart w:id="2" w:name="pillar-2-data-services"/>
      <w:bookmarkEnd w:id="1"/>
      <w:r>
        <w:t>Pillar 2: Data services</w:t>
      </w:r>
    </w:p>
    <w:p w14:paraId="2A414837" w14:textId="77777777" w:rsidR="00F3183D" w:rsidRDefault="00000000">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Sri Lanka received a score of </w:t>
      </w:r>
      <w:r>
        <w:rPr>
          <w:b/>
          <w:bCs/>
        </w:rPr>
        <w:t>81.5 out of 100 for 2024 on the World Bank’s SPI Pillar 2 score.</w:t>
      </w:r>
    </w:p>
    <w:p w14:paraId="2A414838" w14:textId="77777777" w:rsidR="00F3183D" w:rsidRDefault="00000000">
      <w:pPr>
        <w:pStyle w:val="Heading2"/>
      </w:pPr>
      <w:bookmarkStart w:id="3" w:name="pillar-3-data-products"/>
      <w:bookmarkEnd w:id="2"/>
      <w:r>
        <w:lastRenderedPageBreak/>
        <w:t>Pillar 3: Data products</w:t>
      </w:r>
    </w:p>
    <w:p w14:paraId="2A414839" w14:textId="77777777" w:rsidR="00F3183D" w:rsidRDefault="00000000">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 </w:t>
      </w:r>
      <w:r>
        <w:rPr>
          <w:b/>
          <w:bCs/>
        </w:rPr>
        <w:t>Sri Lanka received a score of 77.3 out of 100 for 2024 on the World Bank’s SPI Pillar 3 score.</w:t>
      </w:r>
    </w:p>
    <w:p w14:paraId="2A41483A" w14:textId="77777777" w:rsidR="00F3183D" w:rsidRDefault="00000000">
      <w:pPr>
        <w:pStyle w:val="Heading2"/>
      </w:pPr>
      <w:bookmarkStart w:id="4" w:name="pillar-4-data-sources"/>
      <w:bookmarkEnd w:id="3"/>
      <w:r>
        <w:t>Pillar 4: Data sources</w:t>
      </w:r>
    </w:p>
    <w:p w14:paraId="2A41483B" w14:textId="77777777" w:rsidR="00F3183D" w:rsidRDefault="00000000">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 </w:t>
      </w:r>
      <w:r>
        <w:rPr>
          <w:b/>
          <w:bCs/>
        </w:rPr>
        <w:t>Sri Lanka received a score of 65.7 out of 100 for 2024 on the World Bank’s SPI Pillar 4 score.</w:t>
      </w:r>
    </w:p>
    <w:p w14:paraId="2A41483C" w14:textId="77777777" w:rsidR="00F3183D" w:rsidRDefault="00000000">
      <w:pPr>
        <w:pStyle w:val="Heading2"/>
      </w:pPr>
      <w:bookmarkStart w:id="5" w:name="pillar-5-data-infrastructure"/>
      <w:bookmarkEnd w:id="4"/>
      <w:r>
        <w:t>Pillar 5: Data infrastructure</w:t>
      </w:r>
    </w:p>
    <w:p w14:paraId="2A41483D" w14:textId="77777777" w:rsidR="00F3183D" w:rsidRDefault="00000000">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 </w:t>
      </w:r>
      <w:r>
        <w:rPr>
          <w:b/>
          <w:bCs/>
        </w:rPr>
        <w:t>Sri Lanka received a score of 60 out of 100 for 2024 on the World Bank’s SPI Pillar 5 score.</w:t>
      </w:r>
    </w:p>
    <w:p w14:paraId="2A41483E" w14:textId="77777777" w:rsidR="00F3183D" w:rsidRDefault="00000000">
      <w:pPr>
        <w:pStyle w:val="Heading2"/>
      </w:pPr>
      <w:bookmarkStart w:id="6" w:name="spi-dimensions-and-indicators"/>
      <w:bookmarkEnd w:id="5"/>
      <w:r>
        <w:lastRenderedPageBreak/>
        <w:t>SPI Dimensions and Indicators</w:t>
      </w:r>
    </w:p>
    <w:p w14:paraId="2A41483F" w14:textId="77777777" w:rsidR="00F3183D" w:rsidRDefault="00000000">
      <w:pPr>
        <w:pStyle w:val="FirstParagraph"/>
      </w:pPr>
      <w:r>
        <w:t>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14:paraId="2A414840" w14:textId="77777777" w:rsidR="00F3183D" w:rsidRDefault="00000000">
      <w:pPr>
        <w:pStyle w:val="BodyText"/>
      </w:pPr>
      <w:r>
        <w:t>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 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14:paraId="2A414841" w14:textId="77777777" w:rsidR="00F3183D" w:rsidRDefault="00000000">
      <w:pPr>
        <w:pStyle w:val="BodyText"/>
      </w:pPr>
      <w:r>
        <w:t>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14:paraId="2A414842" w14:textId="77777777" w:rsidR="00F3183D" w:rsidRDefault="00000000">
      <w:pPr>
        <w:pStyle w:val="BodyText"/>
      </w:pPr>
      <w:r>
        <w:t>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14:paraId="2A414843" w14:textId="77777777" w:rsidR="00F3183D" w:rsidRDefault="00000000">
      <w:pPr>
        <w:numPr>
          <w:ilvl w:val="0"/>
          <w:numId w:val="23"/>
        </w:numPr>
      </w:pPr>
      <w:r>
        <w:rPr>
          <w:b/>
          <w:bCs/>
        </w:rPr>
        <w:t>Dimension 1.1: Data use by national legislature:</w:t>
      </w:r>
      <w:r>
        <w:t xml:space="preserve"> Not included because of lack of established methodology. In principle it may be possible to utilize websites of national legislatures but this will require further work and assessment.</w:t>
      </w:r>
    </w:p>
    <w:p w14:paraId="2A414844" w14:textId="77777777" w:rsidR="00F3183D" w:rsidRDefault="00000000">
      <w:pPr>
        <w:numPr>
          <w:ilvl w:val="0"/>
          <w:numId w:val="23"/>
        </w:numPr>
      </w:pPr>
      <w:r>
        <w:rPr>
          <w:b/>
          <w:bCs/>
        </w:rPr>
        <w:t>Dimension 1.2: Data use by national executive branch:</w:t>
      </w:r>
      <w:r>
        <w:t xml:space="preserve"> Not included because of lack of established methodology. There are some usable data sources (as used by PARIS21) but gaps in data across countries have prevented full adoption.</w:t>
      </w:r>
    </w:p>
    <w:p w14:paraId="2A414845" w14:textId="77777777" w:rsidR="00F3183D" w:rsidRDefault="00000000">
      <w:pPr>
        <w:numPr>
          <w:ilvl w:val="0"/>
          <w:numId w:val="23"/>
        </w:numPr>
      </w:pPr>
      <w:r>
        <w:rPr>
          <w:b/>
          <w:bCs/>
        </w:rPr>
        <w:lastRenderedPageBreak/>
        <w:t>Dimension 1.3: Data use by civil society:</w:t>
      </w:r>
      <w:r>
        <w:t xml:space="preserve"> Not included because of lack of established methodology. There are some usable data sources with good coverage, for example from social media but more data is required to help assess and allow for likely biases between and within countries.</w:t>
      </w:r>
    </w:p>
    <w:p w14:paraId="2A414846" w14:textId="77777777" w:rsidR="00F3183D" w:rsidRDefault="00000000">
      <w:pPr>
        <w:numPr>
          <w:ilvl w:val="0"/>
          <w:numId w:val="23"/>
        </w:numPr>
      </w:pPr>
      <w:r>
        <w:rPr>
          <w:b/>
          <w:bCs/>
        </w:rPr>
        <w:t>Dimension 1.4: Data use by academia:</w:t>
      </w:r>
      <w:r>
        <w:t xml:space="preserve"> Not included because of lack of established methodology. We have not been able to find usable data sources with global coverage on which a new methodology could be developed.</w:t>
      </w:r>
    </w:p>
    <w:p w14:paraId="2A414847" w14:textId="77777777" w:rsidR="00F3183D" w:rsidRDefault="00000000">
      <w:pPr>
        <w:numPr>
          <w:ilvl w:val="0"/>
          <w:numId w:val="23"/>
        </w:numPr>
      </w:pPr>
      <w:r>
        <w:rPr>
          <w:b/>
          <w:bCs/>
        </w:rPr>
        <w:t>Dimension 1.5: Data use by international organizations:</w:t>
      </w:r>
      <w:r>
        <w:t xml:space="preserve"> Five measures of usefulness or reliability of country produced measures for international organizations have been included. First, on comparability of poverty estimates for the World Bank reporting on international poverty using </w:t>
      </w:r>
      <w:hyperlink r:id="rId8">
        <w:r>
          <w:rPr>
            <w:rStyle w:val="Hyperlink"/>
          </w:rPr>
          <w:t>PIP</w:t>
        </w:r>
      </w:hyperlink>
      <w:r>
        <w:t xml:space="preserve">. Second on usable surveys for statistics on child mortality for the </w:t>
      </w:r>
      <w:hyperlink r:id="rId9">
        <w:r>
          <w:rPr>
            <w:rStyle w:val="Hyperlink"/>
          </w:rPr>
          <w:t>UN Inter-agency Group for Child Mortality Estimation</w:t>
        </w:r>
      </w:hyperlink>
      <w:r>
        <w:t xml:space="preserve">. Third on accuracy of debt reporting as classified by the World Bank (Source: World Bank WDI metadata). Fourth, on availability of safely managed drinking water data for use by </w:t>
      </w:r>
      <w:hyperlink r:id="rId10">
        <w:r>
          <w:rPr>
            <w:rStyle w:val="Hyperlink"/>
          </w:rPr>
          <w:t>WHO/UNICEF Joint Monitoring Programme</w:t>
        </w:r>
      </w:hyperlink>
      <w:r>
        <w:t xml:space="preserve">. Fifth, on labor force participation data for use by </w:t>
      </w:r>
      <w:hyperlink r:id="rId11">
        <w:r>
          <w:rPr>
            <w:rStyle w:val="Hyperlink"/>
          </w:rPr>
          <w:t>ILO</w:t>
        </w:r>
      </w:hyperlink>
      <w:r>
        <w:t xml:space="preserve">. While these data sources provide only a partial coverag of data used by international organizations, they do provide an indication of the performance of the national statistical system. </w:t>
      </w:r>
      <w:r>
        <w:rPr>
          <w:b/>
          <w:bCs/>
        </w:rPr>
        <w:t>Sri Lanka received a score of 0.9 out of 1 for 2024 on this dimension.</w:t>
      </w:r>
    </w:p>
    <w:p w14:paraId="2A414848" w14:textId="77777777" w:rsidR="00F3183D" w:rsidRDefault="00000000">
      <w:pPr>
        <w:numPr>
          <w:ilvl w:val="0"/>
          <w:numId w:val="23"/>
        </w:numPr>
      </w:pPr>
      <w:r>
        <w:rPr>
          <w:b/>
          <w:bCs/>
        </w:rPr>
        <w:t>Dimension 2.1: Data Releases:</w:t>
      </w:r>
      <w:r>
        <w:t xml:space="preserve"> 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 </w:t>
      </w:r>
      <w:r>
        <w:rPr>
          <w:b/>
          <w:bCs/>
        </w:rPr>
        <w:t>Sri Lanka received a score of 1 out of 1 for 2024 on this dimension.</w:t>
      </w:r>
    </w:p>
    <w:p w14:paraId="2A414849" w14:textId="77777777" w:rsidR="00F3183D" w:rsidRDefault="00000000">
      <w:pPr>
        <w:numPr>
          <w:ilvl w:val="0"/>
          <w:numId w:val="23"/>
        </w:numPr>
      </w:pPr>
      <w:r>
        <w:rPr>
          <w:b/>
          <w:bCs/>
        </w:rPr>
        <w:t>Dimension 2.2: Online access:</w:t>
      </w:r>
      <w:r>
        <w:t xml:space="preserve"> 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 </w:t>
      </w:r>
      <w:hyperlink r:id="rId12">
        <w:r>
          <w:rPr>
            <w:rStyle w:val="Hyperlink"/>
          </w:rPr>
          <w:t>ODIN technical documentation</w:t>
        </w:r>
      </w:hyperlink>
      <w:r>
        <w:t xml:space="preserve">. </w:t>
      </w:r>
      <w:r>
        <w:rPr>
          <w:b/>
          <w:bCs/>
        </w:rPr>
        <w:t>Sri Lanka received a score of 0.4 out of 1 for 2024 on this dimension.</w:t>
      </w:r>
    </w:p>
    <w:p w14:paraId="2A41484A" w14:textId="77777777" w:rsidR="00F3183D" w:rsidRDefault="00000000">
      <w:pPr>
        <w:numPr>
          <w:ilvl w:val="0"/>
          <w:numId w:val="23"/>
        </w:numPr>
      </w:pPr>
      <w:r>
        <w:rPr>
          <w:b/>
          <w:bCs/>
        </w:rPr>
        <w:t>Dimension 2.3: Advisory/ Analytical Services:</w:t>
      </w:r>
      <w:r>
        <w:t xml:space="preserve"> Not included because of lack of established methodology. This could be a new indicator of the number of non-</w:t>
      </w:r>
      <w:r>
        <w:lastRenderedPageBreak/>
        <w:t>recurring products on NSO website (ad hoc/experimental rather than regular releases). The indicator is the number of products found. No established source exists for this indicator.</w:t>
      </w:r>
    </w:p>
    <w:p w14:paraId="2A41484B" w14:textId="77777777" w:rsidR="00F3183D" w:rsidRDefault="00000000">
      <w:pPr>
        <w:numPr>
          <w:ilvl w:val="0"/>
          <w:numId w:val="23"/>
        </w:numPr>
      </w:pPr>
      <w:r>
        <w:rPr>
          <w:b/>
          <w:bCs/>
        </w:rPr>
        <w:t>Dimension 2.4: Data access services:</w:t>
      </w:r>
      <w:r>
        <w:t xml:space="preserve"> NADA metadata. This indicator checks whether NADA microdata cataloging is available for surveys produced by NSO. NADA is an open source microdata cataloging system, compliant with the Data Documentation Initiative (DDI) and Dublin Cores RDF metadata standards. Source: NSO websites. </w:t>
      </w:r>
      <w:r>
        <w:rPr>
          <w:b/>
          <w:bCs/>
        </w:rPr>
        <w:t>Sri Lanka received a score of 1 out of 1 for 2024 on this dimension.</w:t>
      </w:r>
    </w:p>
    <w:p w14:paraId="2A41484C" w14:textId="77777777" w:rsidR="00F3183D" w:rsidRDefault="00000000">
      <w:pPr>
        <w:numPr>
          <w:ilvl w:val="0"/>
          <w:numId w:val="23"/>
        </w:numPr>
      </w:pPr>
      <w:r>
        <w:rPr>
          <w:b/>
          <w:bCs/>
        </w:rPr>
        <w:t>Dimension 3.1: Social Statistics:</w:t>
      </w:r>
      <w:r>
        <w:t xml:space="preserve"> 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 </w:t>
      </w:r>
      <w:hyperlink r:id="rId13">
        <w:r>
          <w:rPr>
            <w:rStyle w:val="Hyperlink"/>
          </w:rPr>
          <w:t>Measuring Distance to the SDG Targets 2019: An Assessment of Where OECD Countries Stand</w:t>
        </w:r>
      </w:hyperlink>
      <w:r>
        <w:t xml:space="preserve">. </w:t>
      </w:r>
      <w:r>
        <w:rPr>
          <w:b/>
          <w:bCs/>
        </w:rPr>
        <w:t>Sri Lanka received a score of 0.7 out of 1 for 2024 on this dimension.</w:t>
      </w:r>
    </w:p>
    <w:p w14:paraId="2A41484D" w14:textId="77777777" w:rsidR="00F3183D" w:rsidRDefault="00000000">
      <w:pPr>
        <w:numPr>
          <w:ilvl w:val="0"/>
          <w:numId w:val="23"/>
        </w:numPr>
      </w:pPr>
      <w:r>
        <w:rPr>
          <w:b/>
          <w:bCs/>
        </w:rPr>
        <w:t>Dimension 3.2: Economic Statistics:</w:t>
      </w:r>
      <w:r>
        <w:t xml:space="preserve"> Availability of Goal 7-12 indicators, measured by an average score. See 3.1. </w:t>
      </w:r>
      <w:r>
        <w:rPr>
          <w:b/>
          <w:bCs/>
        </w:rPr>
        <w:t>Sri Lanka received a score of 0.9 out of 1 for 2024 on this dimension.</w:t>
      </w:r>
    </w:p>
    <w:p w14:paraId="2A41484E" w14:textId="77777777" w:rsidR="00F3183D" w:rsidRDefault="00000000">
      <w:pPr>
        <w:numPr>
          <w:ilvl w:val="0"/>
          <w:numId w:val="23"/>
        </w:numPr>
      </w:pPr>
      <w:r>
        <w:rPr>
          <w:b/>
          <w:bCs/>
        </w:rPr>
        <w:t>Dimension 3.3: Environmental Statistics:</w:t>
      </w:r>
      <w:r>
        <w:t xml:space="preserve"> Availability of Goal 13 &amp; 15 indicators, measured by an average score. Goal 14 - Life on Water - is not included because land-locked countries do not report on these indicators. See 3.1. </w:t>
      </w:r>
      <w:r>
        <w:rPr>
          <w:b/>
          <w:bCs/>
        </w:rPr>
        <w:t>Sri Lanka received a score of 0.7 out of 1 for 2024 on this dimension.</w:t>
      </w:r>
    </w:p>
    <w:p w14:paraId="2A41484F" w14:textId="77777777" w:rsidR="00F3183D" w:rsidRDefault="00000000">
      <w:pPr>
        <w:numPr>
          <w:ilvl w:val="0"/>
          <w:numId w:val="23"/>
        </w:numPr>
      </w:pPr>
      <w:r>
        <w:rPr>
          <w:b/>
          <w:bCs/>
        </w:rPr>
        <w:t>Dimension 3.4: Institutional Statistics:</w:t>
      </w:r>
      <w:r>
        <w:t xml:space="preserve"> Availability of Goal 16-17 indicators measured by an average score. See 3.1. </w:t>
      </w:r>
      <w:r>
        <w:rPr>
          <w:b/>
          <w:bCs/>
        </w:rPr>
        <w:t>Sri Lanka received a score of 0.8 out of 1 for 2024 on this dimension.</w:t>
      </w:r>
    </w:p>
    <w:p w14:paraId="2A414850" w14:textId="77777777" w:rsidR="00F3183D" w:rsidRDefault="00000000">
      <w:pPr>
        <w:numPr>
          <w:ilvl w:val="0"/>
          <w:numId w:val="23"/>
        </w:numPr>
      </w:pPr>
      <w:r>
        <w:rPr>
          <w:b/>
          <w:bCs/>
        </w:rPr>
        <w:t>Dimension 4.1: Censuses and Surveys:</w:t>
      </w:r>
      <w:r>
        <w:t xml:space="preserve"> 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w:t>
      </w:r>
      <w:r>
        <w:lastRenderedPageBreak/>
        <w:t xml:space="preserve">Health/Demographic survey, Business/establishment survey. Source: NSO websites, World Bank microdata library, ILO microdata library, IHSN microdata library. </w:t>
      </w:r>
      <w:r>
        <w:rPr>
          <w:b/>
          <w:bCs/>
        </w:rPr>
        <w:t>Sri Lanka received a score of 0.7 out of 1 for 2024 on this dimension.</w:t>
      </w:r>
    </w:p>
    <w:p w14:paraId="2A414851" w14:textId="77777777" w:rsidR="00F3183D" w:rsidRDefault="00000000">
      <w:pPr>
        <w:numPr>
          <w:ilvl w:val="0"/>
          <w:numId w:val="23"/>
        </w:numPr>
      </w:pPr>
      <w:r>
        <w:rPr>
          <w:b/>
          <w:bCs/>
        </w:rPr>
        <w:t>Dimension 4.2: Administrative Data:</w:t>
      </w:r>
      <w:r>
        <w:t xml:space="preserve"> 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 </w:t>
      </w:r>
      <w:r>
        <w:rPr>
          <w:b/>
          <w:bCs/>
        </w:rPr>
        <w:t>Sri Lanka received a score of 1 out of 1 for 2024 on this dimension.</w:t>
      </w:r>
    </w:p>
    <w:p w14:paraId="2A414852" w14:textId="77777777" w:rsidR="00F3183D" w:rsidRDefault="00000000">
      <w:pPr>
        <w:numPr>
          <w:ilvl w:val="0"/>
          <w:numId w:val="23"/>
        </w:numPr>
      </w:pPr>
      <w:r>
        <w:rPr>
          <w:b/>
          <w:bCs/>
        </w:rPr>
        <w:t>Dimension 4.3: Geospatial Data:</w:t>
      </w:r>
      <w:r>
        <w:t xml:space="preserve"> 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 </w:t>
      </w:r>
      <w:r>
        <w:rPr>
          <w:b/>
          <w:bCs/>
        </w:rPr>
        <w:t>Sri Lanka received a score of 0.2 out of 1 for 2024 on this dimension.</w:t>
      </w:r>
    </w:p>
    <w:p w14:paraId="2A414853" w14:textId="77777777" w:rsidR="00F3183D" w:rsidRDefault="00000000">
      <w:pPr>
        <w:numPr>
          <w:ilvl w:val="0"/>
          <w:numId w:val="23"/>
        </w:numPr>
      </w:pPr>
      <w:r>
        <w:rPr>
          <w:b/>
          <w:bCs/>
        </w:rPr>
        <w:t>Dimension 4.4: Private/citizen generated data:</w:t>
      </w:r>
      <w:r>
        <w:t xml:space="preserve"> 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14:paraId="2A414854" w14:textId="77777777" w:rsidR="00F3183D" w:rsidRDefault="00000000">
      <w:pPr>
        <w:numPr>
          <w:ilvl w:val="0"/>
          <w:numId w:val="23"/>
        </w:numPr>
      </w:pPr>
      <w:r>
        <w:rPr>
          <w:b/>
          <w:bCs/>
        </w:rPr>
        <w:t>Dimension 5.1: Legislation and governance:</w:t>
      </w:r>
      <w:r>
        <w:t xml:space="preserve"> 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14:paraId="2A414855" w14:textId="77777777" w:rsidR="00F3183D" w:rsidRDefault="00000000">
      <w:pPr>
        <w:numPr>
          <w:ilvl w:val="0"/>
          <w:numId w:val="23"/>
        </w:numPr>
      </w:pPr>
      <w:r>
        <w:rPr>
          <w:b/>
          <w:bCs/>
        </w:rPr>
        <w:lastRenderedPageBreak/>
        <w:t>Dimension 5.2: Standards and Methods:</w:t>
      </w:r>
      <w:r>
        <w:t xml:space="preserve"> 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 </w:t>
      </w:r>
      <w:r>
        <w:rPr>
          <w:b/>
          <w:bCs/>
        </w:rPr>
        <w:t>Sri Lanka received a score of 0.6 out of 1 for 2024 on this dimension.</w:t>
      </w:r>
    </w:p>
    <w:p w14:paraId="2A414856" w14:textId="77777777" w:rsidR="00F3183D" w:rsidRDefault="00000000">
      <w:pPr>
        <w:numPr>
          <w:ilvl w:val="0"/>
          <w:numId w:val="23"/>
        </w:numPr>
      </w:pPr>
      <w:r>
        <w:rPr>
          <w:b/>
          <w:bCs/>
        </w:rPr>
        <w:t>Dimension 5.3: Skills:</w:t>
      </w:r>
      <w:r>
        <w:t xml:space="preserve"> Not included because of lack of established methodology or suitable data sources. A new indicator drawing on PARIS21 indicators such as statistical society presence and data literacy could be developed and is an area of future work.</w:t>
      </w:r>
    </w:p>
    <w:p w14:paraId="2A414857" w14:textId="77777777" w:rsidR="00F3183D" w:rsidRDefault="00000000">
      <w:pPr>
        <w:numPr>
          <w:ilvl w:val="0"/>
          <w:numId w:val="23"/>
        </w:numPr>
      </w:pPr>
      <w:r>
        <w:rPr>
          <w:b/>
          <w:bCs/>
        </w:rPr>
        <w:t>Dimension 5.4: Partnerships:</w:t>
      </w:r>
      <w:r>
        <w:t xml:space="preserve"> Not included because of lack of established methodology or suitable data sources. A new indicator based on textual analysis of NSS reports/websites for references to partner organizations could be developed. This is an area of future work.</w:t>
      </w:r>
    </w:p>
    <w:p w14:paraId="2A414858" w14:textId="77777777" w:rsidR="00F3183D" w:rsidRDefault="00000000">
      <w:pPr>
        <w:numPr>
          <w:ilvl w:val="0"/>
          <w:numId w:val="23"/>
        </w:numPr>
      </w:pPr>
      <w:r>
        <w:rPr>
          <w:b/>
          <w:bCs/>
        </w:rPr>
        <w:t>Dimension 5.5: Finance:</w:t>
      </w:r>
      <w:r>
        <w:t xml:space="preserve"> The indicator is based on PARIS21 SDG indicators (SDG 17.18.3 (national statistical plan that is fully funded and under implementation). It is included in dashboard, but not in the overall SPI score or index because of insufficient country coverage.</w:t>
      </w:r>
    </w:p>
    <w:p w14:paraId="2A414859" w14:textId="77777777" w:rsidR="00F3183D" w:rsidRDefault="00000000">
      <w:pPr>
        <w:pStyle w:val="Heading2"/>
      </w:pPr>
      <w:bookmarkStart w:id="7" w:name="line-and-tile-chart"/>
      <w:bookmarkEnd w:id="6"/>
      <w:r>
        <w:lastRenderedPageBreak/>
        <w:t>Line and Tile Chart</w:t>
      </w:r>
    </w:p>
    <w:p w14:paraId="2A41485A" w14:textId="77777777" w:rsidR="00F3183D" w:rsidRDefault="00000000">
      <w:pPr>
        <w:pStyle w:val="FirstParagraph"/>
      </w:pPr>
      <w:r>
        <w:rPr>
          <w:noProof/>
        </w:rPr>
        <w:drawing>
          <wp:inline distT="0" distB="0" distL="0" distR="0" wp14:anchorId="2A41498F" wp14:editId="2A414990">
            <wp:extent cx="5943600" cy="3962399"/>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spi_country_reports_files/figure-docx/line_charts-1.png"/>
                    <pic:cNvPicPr>
                      <a:picLocks noChangeAspect="1" noChangeArrowheads="1"/>
                    </pic:cNvPicPr>
                  </pic:nvPicPr>
                  <pic:blipFill>
                    <a:blip r:embed="rId14"/>
                    <a:stretch>
                      <a:fillRect/>
                    </a:stretch>
                  </pic:blipFill>
                  <pic:spPr bwMode="auto">
                    <a:xfrm>
                      <a:off x="0" y="0"/>
                      <a:ext cx="5943600" cy="3962399"/>
                    </a:xfrm>
                    <a:prstGeom prst="rect">
                      <a:avLst/>
                    </a:prstGeom>
                    <a:noFill/>
                    <a:ln w="9525">
                      <a:noFill/>
                      <a:headEnd/>
                      <a:tailEnd/>
                    </a:ln>
                  </pic:spPr>
                </pic:pic>
              </a:graphicData>
            </a:graphic>
          </wp:inline>
        </w:drawing>
      </w:r>
    </w:p>
    <w:p w14:paraId="2A41485B" w14:textId="77777777" w:rsidR="00F3183D" w:rsidRDefault="00000000">
      <w:pPr>
        <w:pStyle w:val="BodyText"/>
      </w:pPr>
      <w:r>
        <w:rPr>
          <w:noProof/>
        </w:rPr>
        <w:lastRenderedPageBreak/>
        <w:drawing>
          <wp:inline distT="0" distB="0" distL="0" distR="0" wp14:anchorId="2A414991" wp14:editId="2A414992">
            <wp:extent cx="5943600" cy="396239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pi_country_reports_files/figure-docx/overall-1.png"/>
                    <pic:cNvPicPr>
                      <a:picLocks noChangeAspect="1" noChangeArrowheads="1"/>
                    </pic:cNvPicPr>
                  </pic:nvPicPr>
                  <pic:blipFill>
                    <a:blip r:embed="rId15"/>
                    <a:stretch>
                      <a:fillRect/>
                    </a:stretch>
                  </pic:blipFill>
                  <pic:spPr bwMode="auto">
                    <a:xfrm>
                      <a:off x="0" y="0"/>
                      <a:ext cx="5943600" cy="3962399"/>
                    </a:xfrm>
                    <a:prstGeom prst="rect">
                      <a:avLst/>
                    </a:prstGeom>
                    <a:noFill/>
                    <a:ln w="9525">
                      <a:noFill/>
                      <a:headEnd/>
                      <a:tailEnd/>
                    </a:ln>
                  </pic:spPr>
                </pic:pic>
              </a:graphicData>
            </a:graphic>
          </wp:inline>
        </w:drawing>
      </w:r>
    </w:p>
    <w:p w14:paraId="2A41485C" w14:textId="77777777" w:rsidR="00F3183D" w:rsidRDefault="00000000">
      <w:pPr>
        <w:pStyle w:val="Heading2"/>
      </w:pPr>
      <w:bookmarkStart w:id="8" w:name="pillar-1-data-use-1"/>
      <w:bookmarkEnd w:id="7"/>
      <w:r>
        <w:lastRenderedPageBreak/>
        <w:t>Pillar 1: Data Use</w:t>
      </w:r>
    </w:p>
    <w:p w14:paraId="2A41485D" w14:textId="77777777" w:rsidR="00F3183D" w:rsidRDefault="00000000">
      <w:pPr>
        <w:pStyle w:val="FirstParagraph"/>
      </w:pPr>
      <w:r>
        <w:rPr>
          <w:noProof/>
        </w:rPr>
        <w:drawing>
          <wp:inline distT="0" distB="0" distL="0" distR="0" wp14:anchorId="2A414993" wp14:editId="2A414994">
            <wp:extent cx="5943600" cy="3962399"/>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pi_country_reports_files/figure-docx/D1-1.png"/>
                    <pic:cNvPicPr>
                      <a:picLocks noChangeAspect="1" noChangeArrowheads="1"/>
                    </pic:cNvPicPr>
                  </pic:nvPicPr>
                  <pic:blipFill>
                    <a:blip r:embed="rId16"/>
                    <a:stretch>
                      <a:fillRect/>
                    </a:stretch>
                  </pic:blipFill>
                  <pic:spPr bwMode="auto">
                    <a:xfrm>
                      <a:off x="0" y="0"/>
                      <a:ext cx="5943600" cy="3962399"/>
                    </a:xfrm>
                    <a:prstGeom prst="rect">
                      <a:avLst/>
                    </a:prstGeom>
                    <a:noFill/>
                    <a:ln w="9525">
                      <a:noFill/>
                      <a:headEnd/>
                      <a:tailEnd/>
                    </a:ln>
                  </pic:spPr>
                </pic:pic>
              </a:graphicData>
            </a:graphic>
          </wp:inline>
        </w:drawing>
      </w:r>
    </w:p>
    <w:p w14:paraId="2A41485E" w14:textId="77777777" w:rsidR="00F3183D" w:rsidRDefault="00000000">
      <w:pPr>
        <w:pStyle w:val="BodyText"/>
      </w:pPr>
      <w:r>
        <w:rPr>
          <w:noProof/>
        </w:rPr>
        <w:lastRenderedPageBreak/>
        <w:drawing>
          <wp:inline distT="0" distB="0" distL="0" distR="0" wp14:anchorId="2A414995" wp14:editId="2A414996">
            <wp:extent cx="5943600" cy="46228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spi_country_reports_files/figure-docx/D1tile-1.png"/>
                    <pic:cNvPicPr>
                      <a:picLocks noChangeAspect="1" noChangeArrowheads="1"/>
                    </pic:cNvPicPr>
                  </pic:nvPicPr>
                  <pic:blipFill>
                    <a:blip r:embed="rId17"/>
                    <a:stretch>
                      <a:fillRect/>
                    </a:stretch>
                  </pic:blipFill>
                  <pic:spPr bwMode="auto">
                    <a:xfrm>
                      <a:off x="0" y="0"/>
                      <a:ext cx="5943600" cy="4622800"/>
                    </a:xfrm>
                    <a:prstGeom prst="rect">
                      <a:avLst/>
                    </a:prstGeom>
                    <a:noFill/>
                    <a:ln w="9525">
                      <a:noFill/>
                      <a:headEnd/>
                      <a:tailEnd/>
                    </a:ln>
                  </pic:spPr>
                </pic:pic>
              </a:graphicData>
            </a:graphic>
          </wp:inline>
        </w:drawing>
      </w:r>
    </w:p>
    <w:p w14:paraId="2A41485F" w14:textId="77777777" w:rsidR="00F3183D" w:rsidRDefault="00000000">
      <w:pPr>
        <w:pStyle w:val="Heading2"/>
      </w:pPr>
      <w:bookmarkStart w:id="9" w:name="pillar-2-data-services-1"/>
      <w:bookmarkEnd w:id="8"/>
      <w:r>
        <w:lastRenderedPageBreak/>
        <w:t>Pillar 2: Data Services</w:t>
      </w:r>
    </w:p>
    <w:p w14:paraId="2A414860" w14:textId="77777777" w:rsidR="00F3183D" w:rsidRDefault="00000000">
      <w:pPr>
        <w:pStyle w:val="FirstParagraph"/>
      </w:pPr>
      <w:r>
        <w:rPr>
          <w:noProof/>
        </w:rPr>
        <w:drawing>
          <wp:inline distT="0" distB="0" distL="0" distR="0" wp14:anchorId="2A414997" wp14:editId="2A414998">
            <wp:extent cx="5943600" cy="3962399"/>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spi_country_reports_files/figure-docx/D2-1.png"/>
                    <pic:cNvPicPr>
                      <a:picLocks noChangeAspect="1" noChangeArrowheads="1"/>
                    </pic:cNvPicPr>
                  </pic:nvPicPr>
                  <pic:blipFill>
                    <a:blip r:embed="rId18"/>
                    <a:stretch>
                      <a:fillRect/>
                    </a:stretch>
                  </pic:blipFill>
                  <pic:spPr bwMode="auto">
                    <a:xfrm>
                      <a:off x="0" y="0"/>
                      <a:ext cx="5943600" cy="3962399"/>
                    </a:xfrm>
                    <a:prstGeom prst="rect">
                      <a:avLst/>
                    </a:prstGeom>
                    <a:noFill/>
                    <a:ln w="9525">
                      <a:noFill/>
                      <a:headEnd/>
                      <a:tailEnd/>
                    </a:ln>
                  </pic:spPr>
                </pic:pic>
              </a:graphicData>
            </a:graphic>
          </wp:inline>
        </w:drawing>
      </w:r>
    </w:p>
    <w:p w14:paraId="2A414861" w14:textId="77777777" w:rsidR="00F3183D" w:rsidRDefault="00000000">
      <w:pPr>
        <w:pStyle w:val="BodyText"/>
      </w:pPr>
      <w:r>
        <w:rPr>
          <w:noProof/>
        </w:rPr>
        <w:lastRenderedPageBreak/>
        <w:drawing>
          <wp:inline distT="0" distB="0" distL="0" distR="0" wp14:anchorId="2A414999" wp14:editId="2A41499A">
            <wp:extent cx="5943600" cy="46228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spi_country_reports_files/figure-docx/D2tile-1.png"/>
                    <pic:cNvPicPr>
                      <a:picLocks noChangeAspect="1" noChangeArrowheads="1"/>
                    </pic:cNvPicPr>
                  </pic:nvPicPr>
                  <pic:blipFill>
                    <a:blip r:embed="rId19"/>
                    <a:stretch>
                      <a:fillRect/>
                    </a:stretch>
                  </pic:blipFill>
                  <pic:spPr bwMode="auto">
                    <a:xfrm>
                      <a:off x="0" y="0"/>
                      <a:ext cx="5943600" cy="4622800"/>
                    </a:xfrm>
                    <a:prstGeom prst="rect">
                      <a:avLst/>
                    </a:prstGeom>
                    <a:noFill/>
                    <a:ln w="9525">
                      <a:noFill/>
                      <a:headEnd/>
                      <a:tailEnd/>
                    </a:ln>
                  </pic:spPr>
                </pic:pic>
              </a:graphicData>
            </a:graphic>
          </wp:inline>
        </w:drawing>
      </w:r>
    </w:p>
    <w:p w14:paraId="2A414862" w14:textId="77777777" w:rsidR="00F3183D" w:rsidRDefault="00000000">
      <w:pPr>
        <w:pStyle w:val="Heading2"/>
      </w:pPr>
      <w:bookmarkStart w:id="10" w:name="pillar-3-data-products-1"/>
      <w:bookmarkEnd w:id="9"/>
      <w:r>
        <w:lastRenderedPageBreak/>
        <w:t>Pillar 3: Data Products</w:t>
      </w:r>
    </w:p>
    <w:p w14:paraId="2A414863" w14:textId="77777777" w:rsidR="00F3183D" w:rsidRDefault="00000000">
      <w:pPr>
        <w:pStyle w:val="FirstParagraph"/>
      </w:pPr>
      <w:r>
        <w:rPr>
          <w:noProof/>
        </w:rPr>
        <w:drawing>
          <wp:inline distT="0" distB="0" distL="0" distR="0" wp14:anchorId="2A41499B" wp14:editId="2A41499C">
            <wp:extent cx="5943600" cy="3962399"/>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spi_country_reports_files/figure-docx/D3-1.png"/>
                    <pic:cNvPicPr>
                      <a:picLocks noChangeAspect="1" noChangeArrowheads="1"/>
                    </pic:cNvPicPr>
                  </pic:nvPicPr>
                  <pic:blipFill>
                    <a:blip r:embed="rId20"/>
                    <a:stretch>
                      <a:fillRect/>
                    </a:stretch>
                  </pic:blipFill>
                  <pic:spPr bwMode="auto">
                    <a:xfrm>
                      <a:off x="0" y="0"/>
                      <a:ext cx="5943600" cy="3962399"/>
                    </a:xfrm>
                    <a:prstGeom prst="rect">
                      <a:avLst/>
                    </a:prstGeom>
                    <a:noFill/>
                    <a:ln w="9525">
                      <a:noFill/>
                      <a:headEnd/>
                      <a:tailEnd/>
                    </a:ln>
                  </pic:spPr>
                </pic:pic>
              </a:graphicData>
            </a:graphic>
          </wp:inline>
        </w:drawing>
      </w:r>
    </w:p>
    <w:p w14:paraId="2A414864" w14:textId="77777777" w:rsidR="00F3183D" w:rsidRDefault="00000000">
      <w:pPr>
        <w:pStyle w:val="BodyText"/>
      </w:pPr>
      <w:r>
        <w:rPr>
          <w:noProof/>
        </w:rPr>
        <w:lastRenderedPageBreak/>
        <w:drawing>
          <wp:inline distT="0" distB="0" distL="0" distR="0" wp14:anchorId="2A41499D" wp14:editId="2A41499E">
            <wp:extent cx="5943600" cy="59436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spi_country_reports_files/figure-docx/D3tile-1.png"/>
                    <pic:cNvPicPr>
                      <a:picLocks noChangeAspect="1" noChangeArrowheads="1"/>
                    </pic:cNvPicPr>
                  </pic:nvPicPr>
                  <pic:blipFill>
                    <a:blip r:embed="rId21"/>
                    <a:stretch>
                      <a:fillRect/>
                    </a:stretch>
                  </pic:blipFill>
                  <pic:spPr bwMode="auto">
                    <a:xfrm>
                      <a:off x="0" y="0"/>
                      <a:ext cx="5943600" cy="5943600"/>
                    </a:xfrm>
                    <a:prstGeom prst="rect">
                      <a:avLst/>
                    </a:prstGeom>
                    <a:noFill/>
                    <a:ln w="9525">
                      <a:noFill/>
                      <a:headEnd/>
                      <a:tailEnd/>
                    </a:ln>
                  </pic:spPr>
                </pic:pic>
              </a:graphicData>
            </a:graphic>
          </wp:inline>
        </w:drawing>
      </w:r>
    </w:p>
    <w:p w14:paraId="2A414865" w14:textId="77777777" w:rsidR="00F3183D" w:rsidRDefault="00000000">
      <w:pPr>
        <w:pStyle w:val="Heading2"/>
      </w:pPr>
      <w:bookmarkStart w:id="11" w:name="pillar-4-data-sources-1"/>
      <w:bookmarkEnd w:id="10"/>
      <w:r>
        <w:lastRenderedPageBreak/>
        <w:t>Pillar 4: Data Sources</w:t>
      </w:r>
    </w:p>
    <w:p w14:paraId="2A414866" w14:textId="77777777" w:rsidR="00F3183D" w:rsidRDefault="00000000">
      <w:pPr>
        <w:pStyle w:val="FirstParagraph"/>
      </w:pPr>
      <w:r>
        <w:rPr>
          <w:noProof/>
        </w:rPr>
        <w:drawing>
          <wp:inline distT="0" distB="0" distL="0" distR="0" wp14:anchorId="2A41499F" wp14:editId="2A4149A0">
            <wp:extent cx="5943600" cy="3962399"/>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spi_country_reports_files/figure-docx/D4-1.png"/>
                    <pic:cNvPicPr>
                      <a:picLocks noChangeAspect="1" noChangeArrowheads="1"/>
                    </pic:cNvPicPr>
                  </pic:nvPicPr>
                  <pic:blipFill>
                    <a:blip r:embed="rId22"/>
                    <a:stretch>
                      <a:fillRect/>
                    </a:stretch>
                  </pic:blipFill>
                  <pic:spPr bwMode="auto">
                    <a:xfrm>
                      <a:off x="0" y="0"/>
                      <a:ext cx="5943600" cy="3962399"/>
                    </a:xfrm>
                    <a:prstGeom prst="rect">
                      <a:avLst/>
                    </a:prstGeom>
                    <a:noFill/>
                    <a:ln w="9525">
                      <a:noFill/>
                      <a:headEnd/>
                      <a:tailEnd/>
                    </a:ln>
                  </pic:spPr>
                </pic:pic>
              </a:graphicData>
            </a:graphic>
          </wp:inline>
        </w:drawing>
      </w:r>
    </w:p>
    <w:p w14:paraId="2A414867" w14:textId="77777777" w:rsidR="00F3183D" w:rsidRDefault="00000000">
      <w:pPr>
        <w:pStyle w:val="BodyText"/>
      </w:pPr>
      <w:r>
        <w:rPr>
          <w:noProof/>
        </w:rPr>
        <w:lastRenderedPageBreak/>
        <w:drawing>
          <wp:inline distT="0" distB="0" distL="0" distR="0" wp14:anchorId="2A4149A1" wp14:editId="2A4149A2">
            <wp:extent cx="5943600" cy="59436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spi_country_reports_files/figure-docx/D4tile-1.png"/>
                    <pic:cNvPicPr>
                      <a:picLocks noChangeAspect="1" noChangeArrowheads="1"/>
                    </pic:cNvPicPr>
                  </pic:nvPicPr>
                  <pic:blipFill>
                    <a:blip r:embed="rId23"/>
                    <a:stretch>
                      <a:fillRect/>
                    </a:stretch>
                  </pic:blipFill>
                  <pic:spPr bwMode="auto">
                    <a:xfrm>
                      <a:off x="0" y="0"/>
                      <a:ext cx="5943600" cy="5943600"/>
                    </a:xfrm>
                    <a:prstGeom prst="rect">
                      <a:avLst/>
                    </a:prstGeom>
                    <a:noFill/>
                    <a:ln w="9525">
                      <a:noFill/>
                      <a:headEnd/>
                      <a:tailEnd/>
                    </a:ln>
                  </pic:spPr>
                </pic:pic>
              </a:graphicData>
            </a:graphic>
          </wp:inline>
        </w:drawing>
      </w:r>
    </w:p>
    <w:p w14:paraId="2A414868" w14:textId="77777777" w:rsidR="00F3183D" w:rsidRDefault="00000000">
      <w:pPr>
        <w:pStyle w:val="Heading2"/>
      </w:pPr>
      <w:bookmarkStart w:id="12" w:name="pillar-5-data-infrastructure-1"/>
      <w:bookmarkEnd w:id="11"/>
      <w:r>
        <w:lastRenderedPageBreak/>
        <w:t>Pillar 5: Data Infrastructure</w:t>
      </w:r>
    </w:p>
    <w:p w14:paraId="2A414869" w14:textId="77777777" w:rsidR="00F3183D" w:rsidRDefault="00000000">
      <w:pPr>
        <w:pStyle w:val="FirstParagraph"/>
      </w:pPr>
      <w:r>
        <w:rPr>
          <w:noProof/>
        </w:rPr>
        <w:drawing>
          <wp:inline distT="0" distB="0" distL="0" distR="0" wp14:anchorId="2A4149A3" wp14:editId="2A4149A4">
            <wp:extent cx="5943600" cy="3962399"/>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spi_country_reports_files/figure-docx/D5-1.png"/>
                    <pic:cNvPicPr>
                      <a:picLocks noChangeAspect="1" noChangeArrowheads="1"/>
                    </pic:cNvPicPr>
                  </pic:nvPicPr>
                  <pic:blipFill>
                    <a:blip r:embed="rId24"/>
                    <a:stretch>
                      <a:fillRect/>
                    </a:stretch>
                  </pic:blipFill>
                  <pic:spPr bwMode="auto">
                    <a:xfrm>
                      <a:off x="0" y="0"/>
                      <a:ext cx="5943600" cy="3962399"/>
                    </a:xfrm>
                    <a:prstGeom prst="rect">
                      <a:avLst/>
                    </a:prstGeom>
                    <a:noFill/>
                    <a:ln w="9525">
                      <a:noFill/>
                      <a:headEnd/>
                      <a:tailEnd/>
                    </a:ln>
                  </pic:spPr>
                </pic:pic>
              </a:graphicData>
            </a:graphic>
          </wp:inline>
        </w:drawing>
      </w:r>
    </w:p>
    <w:p w14:paraId="2A41486A" w14:textId="77777777" w:rsidR="00F3183D" w:rsidRDefault="00000000">
      <w:pPr>
        <w:pStyle w:val="BodyText"/>
      </w:pPr>
      <w:r>
        <w:rPr>
          <w:noProof/>
        </w:rPr>
        <w:lastRenderedPageBreak/>
        <w:drawing>
          <wp:inline distT="0" distB="0" distL="0" distR="0" wp14:anchorId="2A4149A5" wp14:editId="2A4149A6">
            <wp:extent cx="5943600" cy="59436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spi_country_reports_files/figure-docx/D5tile-1.png"/>
                    <pic:cNvPicPr>
                      <a:picLocks noChangeAspect="1" noChangeArrowheads="1"/>
                    </pic:cNvPicPr>
                  </pic:nvPicPr>
                  <pic:blipFill>
                    <a:blip r:embed="rId25"/>
                    <a:stretch>
                      <a:fillRect/>
                    </a:stretch>
                  </pic:blipFill>
                  <pic:spPr bwMode="auto">
                    <a:xfrm>
                      <a:off x="0" y="0"/>
                      <a:ext cx="5943600" cy="5943600"/>
                    </a:xfrm>
                    <a:prstGeom prst="rect">
                      <a:avLst/>
                    </a:prstGeom>
                    <a:noFill/>
                    <a:ln w="9525">
                      <a:noFill/>
                      <a:headEnd/>
                      <a:tailEnd/>
                    </a:ln>
                  </pic:spPr>
                </pic:pic>
              </a:graphicData>
            </a:graphic>
          </wp:inline>
        </w:drawing>
      </w:r>
    </w:p>
    <w:p w14:paraId="2A41486B" w14:textId="77777777" w:rsidR="00F3183D" w:rsidRDefault="00000000">
      <w:pPr>
        <w:pStyle w:val="Heading1"/>
      </w:pPr>
      <w:bookmarkStart w:id="13" w:name="by-indicator"/>
      <w:bookmarkEnd w:id="0"/>
      <w:bookmarkEnd w:id="12"/>
      <w:r>
        <w:lastRenderedPageBreak/>
        <w:t>By Indicator</w:t>
      </w:r>
    </w:p>
    <w:p w14:paraId="2A41486C" w14:textId="77777777" w:rsidR="00F3183D" w:rsidRDefault="00000000">
      <w:pPr>
        <w:pStyle w:val="FirstParagraph"/>
      </w:pPr>
      <w:r>
        <w:rPr>
          <w:noProof/>
        </w:rPr>
        <w:drawing>
          <wp:inline distT="0" distB="0" distL="0" distR="0" wp14:anchorId="2A4149A7" wp14:editId="2A4149A8">
            <wp:extent cx="5943600" cy="416052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spi_country_reports_files/figure-docx/lolliplot1-1.png"/>
                    <pic:cNvPicPr>
                      <a:picLocks noChangeAspect="1" noChangeArrowheads="1"/>
                    </pic:cNvPicPr>
                  </pic:nvPicPr>
                  <pic:blipFill>
                    <a:blip r:embed="rId26"/>
                    <a:stretch>
                      <a:fillRect/>
                    </a:stretch>
                  </pic:blipFill>
                  <pic:spPr bwMode="auto">
                    <a:xfrm>
                      <a:off x="0" y="0"/>
                      <a:ext cx="5943600" cy="4160520"/>
                    </a:xfrm>
                    <a:prstGeom prst="rect">
                      <a:avLst/>
                    </a:prstGeom>
                    <a:noFill/>
                    <a:ln w="9525">
                      <a:noFill/>
                      <a:headEnd/>
                      <a:tailEnd/>
                    </a:ln>
                  </pic:spPr>
                </pic:pic>
              </a:graphicData>
            </a:graphic>
          </wp:inline>
        </w:drawing>
      </w:r>
    </w:p>
    <w:p w14:paraId="2A41486D" w14:textId="77777777" w:rsidR="00F3183D" w:rsidRDefault="00000000">
      <w:pPr>
        <w:pStyle w:val="BodyText"/>
      </w:pPr>
      <w:r>
        <w:rPr>
          <w:noProof/>
        </w:rPr>
        <w:drawing>
          <wp:inline distT="0" distB="0" distL="0" distR="0" wp14:anchorId="2A4149A9" wp14:editId="2A4149AA">
            <wp:extent cx="5943600" cy="29718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spi_country_reports_files/figure-docx/lolliplot2-1.png"/>
                    <pic:cNvPicPr>
                      <a:picLocks noChangeAspect="1" noChangeArrowheads="1"/>
                    </pic:cNvPicPr>
                  </pic:nvPicPr>
                  <pic:blipFill>
                    <a:blip r:embed="rId27"/>
                    <a:stretch>
                      <a:fillRect/>
                    </a:stretch>
                  </pic:blipFill>
                  <pic:spPr bwMode="auto">
                    <a:xfrm>
                      <a:off x="0" y="0"/>
                      <a:ext cx="5943600" cy="2971800"/>
                    </a:xfrm>
                    <a:prstGeom prst="rect">
                      <a:avLst/>
                    </a:prstGeom>
                    <a:noFill/>
                    <a:ln w="9525">
                      <a:noFill/>
                      <a:headEnd/>
                      <a:tailEnd/>
                    </a:ln>
                  </pic:spPr>
                </pic:pic>
              </a:graphicData>
            </a:graphic>
          </wp:inline>
        </w:drawing>
      </w:r>
    </w:p>
    <w:p w14:paraId="2A41486E" w14:textId="77777777" w:rsidR="00F3183D" w:rsidRDefault="00000000">
      <w:pPr>
        <w:pStyle w:val="BodyText"/>
      </w:pPr>
      <w:r>
        <w:rPr>
          <w:noProof/>
        </w:rPr>
        <w:lastRenderedPageBreak/>
        <w:drawing>
          <wp:inline distT="0" distB="0" distL="0" distR="0" wp14:anchorId="2A4149AB" wp14:editId="2A4149AC">
            <wp:extent cx="5943600" cy="5349239"/>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spi_country_reports_files/figure-docx/lolliplot3-1.png"/>
                    <pic:cNvPicPr>
                      <a:picLocks noChangeAspect="1" noChangeArrowheads="1"/>
                    </pic:cNvPicPr>
                  </pic:nvPicPr>
                  <pic:blipFill>
                    <a:blip r:embed="rId28"/>
                    <a:stretch>
                      <a:fillRect/>
                    </a:stretch>
                  </pic:blipFill>
                  <pic:spPr bwMode="auto">
                    <a:xfrm>
                      <a:off x="0" y="0"/>
                      <a:ext cx="5943600" cy="5349239"/>
                    </a:xfrm>
                    <a:prstGeom prst="rect">
                      <a:avLst/>
                    </a:prstGeom>
                    <a:noFill/>
                    <a:ln w="9525">
                      <a:noFill/>
                      <a:headEnd/>
                      <a:tailEnd/>
                    </a:ln>
                  </pic:spPr>
                </pic:pic>
              </a:graphicData>
            </a:graphic>
          </wp:inline>
        </w:drawing>
      </w:r>
    </w:p>
    <w:p w14:paraId="2A41486F" w14:textId="77777777" w:rsidR="00F3183D" w:rsidRDefault="00000000">
      <w:pPr>
        <w:pStyle w:val="BodyText"/>
      </w:pPr>
      <w:r>
        <w:rPr>
          <w:noProof/>
        </w:rPr>
        <w:lastRenderedPageBreak/>
        <w:drawing>
          <wp:inline distT="0" distB="0" distL="0" distR="0" wp14:anchorId="2A4149AD" wp14:editId="2A4149AE">
            <wp:extent cx="5943600" cy="4754879"/>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spi_country_reports_files/figure-docx/lolliplot4-1.png"/>
                    <pic:cNvPicPr>
                      <a:picLocks noChangeAspect="1" noChangeArrowheads="1"/>
                    </pic:cNvPicPr>
                  </pic:nvPicPr>
                  <pic:blipFill>
                    <a:blip r:embed="rId29"/>
                    <a:stretch>
                      <a:fillRect/>
                    </a:stretch>
                  </pic:blipFill>
                  <pic:spPr bwMode="auto">
                    <a:xfrm>
                      <a:off x="0" y="0"/>
                      <a:ext cx="5943600" cy="4754879"/>
                    </a:xfrm>
                    <a:prstGeom prst="rect">
                      <a:avLst/>
                    </a:prstGeom>
                    <a:noFill/>
                    <a:ln w="9525">
                      <a:noFill/>
                      <a:headEnd/>
                      <a:tailEnd/>
                    </a:ln>
                  </pic:spPr>
                </pic:pic>
              </a:graphicData>
            </a:graphic>
          </wp:inline>
        </w:drawing>
      </w:r>
    </w:p>
    <w:p w14:paraId="2A414870" w14:textId="77777777" w:rsidR="00F3183D" w:rsidRDefault="00000000">
      <w:pPr>
        <w:pStyle w:val="BodyText"/>
      </w:pPr>
      <w:r>
        <w:rPr>
          <w:noProof/>
        </w:rPr>
        <w:lastRenderedPageBreak/>
        <w:drawing>
          <wp:inline distT="0" distB="0" distL="0" distR="0" wp14:anchorId="2A4149AF" wp14:editId="2A4149B0">
            <wp:extent cx="5943600" cy="4754879"/>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spi_country_reports_files/figure-docx/lolliplot5-1.png"/>
                    <pic:cNvPicPr>
                      <a:picLocks noChangeAspect="1" noChangeArrowheads="1"/>
                    </pic:cNvPicPr>
                  </pic:nvPicPr>
                  <pic:blipFill>
                    <a:blip r:embed="rId30"/>
                    <a:stretch>
                      <a:fillRect/>
                    </a:stretch>
                  </pic:blipFill>
                  <pic:spPr bwMode="auto">
                    <a:xfrm>
                      <a:off x="0" y="0"/>
                      <a:ext cx="5943600" cy="4754879"/>
                    </a:xfrm>
                    <a:prstGeom prst="rect">
                      <a:avLst/>
                    </a:prstGeom>
                    <a:noFill/>
                    <a:ln w="9525">
                      <a:noFill/>
                      <a:headEnd/>
                      <a:tailEnd/>
                    </a:ln>
                  </pic:spPr>
                </pic:pic>
              </a:graphicData>
            </a:graphic>
          </wp:inline>
        </w:drawing>
      </w:r>
    </w:p>
    <w:p w14:paraId="2A414871" w14:textId="77777777" w:rsidR="00F3183D" w:rsidRDefault="00000000">
      <w:pPr>
        <w:pStyle w:val="Heading1"/>
      </w:pPr>
      <w:bookmarkStart w:id="14" w:name="table-of-raw-indicators-and-scores"/>
      <w:bookmarkEnd w:id="13"/>
      <w:r>
        <w:t>Table of Raw Indicators and Scores</w:t>
      </w:r>
    </w:p>
    <w:p w14:paraId="2A414872" w14:textId="77777777" w:rsidR="00F3183D" w:rsidRDefault="00000000">
      <w:pPr>
        <w:pStyle w:val="Heading1"/>
      </w:pPr>
      <w:bookmarkStart w:id="15" w:name="censuses-and-surveys"/>
      <w:bookmarkEnd w:id="14"/>
      <w:r>
        <w:t>Censuses and Surveys</w:t>
      </w:r>
    </w:p>
    <w:tbl>
      <w:tblPr>
        <w:tblW w:w="0" w:type="auto"/>
        <w:jc w:val="center"/>
        <w:tblLayout w:type="fixed"/>
        <w:tblLook w:val="0420" w:firstRow="1" w:lastRow="0" w:firstColumn="0" w:lastColumn="0" w:noHBand="0" w:noVBand="1"/>
      </w:tblPr>
      <w:tblGrid>
        <w:gridCol w:w="2304"/>
        <w:gridCol w:w="2304"/>
        <w:gridCol w:w="2304"/>
      </w:tblGrid>
      <w:tr w:rsidR="00F3183D" w14:paraId="2A414874" w14:textId="77777777">
        <w:trPr>
          <w:tblHeader/>
          <w:jc w:val="center"/>
        </w:trPr>
        <w:tc>
          <w:tcPr>
            <w:tcW w:w="691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73"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Sri Lanka SPI Indicator Data in 2024.</w:t>
            </w:r>
          </w:p>
        </w:tc>
      </w:tr>
      <w:tr w:rsidR="00F3183D" w14:paraId="2A414878" w14:textId="77777777">
        <w:trPr>
          <w:tblHeader/>
          <w:jc w:val="center"/>
        </w:trPr>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75"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Indicator</w:t>
            </w:r>
          </w:p>
        </w:tc>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76"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Scored Value</w:t>
            </w:r>
          </w:p>
        </w:tc>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77"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Census/Survey Dates</w:t>
            </w:r>
          </w:p>
        </w:tc>
      </w:tr>
      <w:tr w:rsidR="00F3183D" w14:paraId="2A41487C" w14:textId="77777777">
        <w:trPr>
          <w:jc w:val="center"/>
        </w:trPr>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79"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Population &amp; Housing census</w:t>
            </w:r>
          </w:p>
        </w:tc>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7A"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7B"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2001,2012,2024</w:t>
            </w:r>
          </w:p>
        </w:tc>
      </w:tr>
      <w:tr w:rsidR="00F3183D" w14:paraId="2A414880"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7D"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Agriculture census</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7E"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0.5</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7F"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2002,2013</w:t>
            </w:r>
          </w:p>
        </w:tc>
      </w:tr>
      <w:tr w:rsidR="00F3183D" w14:paraId="2A414884"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1"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Business/establishment census</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2"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0.5</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3"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1983,2003,2013</w:t>
            </w:r>
          </w:p>
        </w:tc>
      </w:tr>
      <w:tr w:rsidR="00F3183D" w14:paraId="2A414888"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5"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Household Survey on </w:t>
            </w:r>
            <w:r>
              <w:rPr>
                <w:rFonts w:ascii="Arial" w:eastAsia="Arial" w:hAnsi="Arial" w:cs="Arial"/>
                <w:color w:val="000000"/>
                <w:sz w:val="22"/>
                <w:szCs w:val="22"/>
              </w:rPr>
              <w:lastRenderedPageBreak/>
              <w:t>income, etc</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6"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7"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1985, 1990, 1995, </w:t>
            </w:r>
            <w:r>
              <w:rPr>
                <w:rFonts w:ascii="Arial" w:eastAsia="Arial" w:hAnsi="Arial" w:cs="Arial"/>
                <w:color w:val="000000"/>
                <w:sz w:val="22"/>
                <w:szCs w:val="22"/>
              </w:rPr>
              <w:lastRenderedPageBreak/>
              <w:t>2001, 2002, 2006, 2009, 2012, 2016, 2019</w:t>
            </w:r>
          </w:p>
        </w:tc>
      </w:tr>
      <w:tr w:rsidR="00F3183D" w14:paraId="2A41488C"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9"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Agriculture survey</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A"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0.33</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B"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2016</w:t>
            </w:r>
          </w:p>
        </w:tc>
      </w:tr>
      <w:tr w:rsidR="00F3183D" w14:paraId="2A414890"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D"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Labor Force Survey</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E"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8F"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1996, 1997, 1998, 1999, 2000, 2001, 2002, 2003, 2004, 2005, 2006, 2007, 2008, 2009, 2010, 2011, 2012, 2013, 2014, 2015, 2016, 2017, 2018, 2019, 2020, 2021, 2022</w:t>
            </w:r>
          </w:p>
        </w:tc>
      </w:tr>
      <w:tr w:rsidR="00F3183D" w14:paraId="2A414894"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91"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Health/Demographic survey</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92"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0.33</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93"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1987, 2003, 2006, 2008, 2016</w:t>
            </w:r>
          </w:p>
        </w:tc>
      </w:tr>
      <w:tr w:rsidR="00F3183D" w14:paraId="2A414898" w14:textId="77777777">
        <w:trPr>
          <w:jc w:val="center"/>
        </w:trPr>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95"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Business/establishment survey</w:t>
            </w:r>
          </w:p>
        </w:tc>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96"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97"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1983, 1984, 1985, 1986, 1987, 1989, 1992, 1993, 1995, 1996, 1997, 1999, 2000, 2002, 2003, 2006, 2007, 2008, 2009, 2010, 2011, 2012, 2013, 2014, 2015, 2016, 2017, 2018</w:t>
            </w:r>
          </w:p>
        </w:tc>
      </w:tr>
    </w:tbl>
    <w:p w14:paraId="2A414899" w14:textId="77777777" w:rsidR="00F3183D" w:rsidRDefault="00000000">
      <w:pPr>
        <w:pStyle w:val="Heading1"/>
      </w:pPr>
      <w:bookmarkStart w:id="16" w:name="methods-standard"/>
      <w:bookmarkEnd w:id="15"/>
      <w:r>
        <w:t>Methods Standard</w:t>
      </w:r>
    </w:p>
    <w:tbl>
      <w:tblPr>
        <w:tblW w:w="0" w:type="auto"/>
        <w:jc w:val="center"/>
        <w:tblLayout w:type="fixed"/>
        <w:tblLook w:val="0420" w:firstRow="1" w:lastRow="0" w:firstColumn="0" w:lastColumn="0" w:noHBand="0" w:noVBand="1"/>
      </w:tblPr>
      <w:tblGrid>
        <w:gridCol w:w="2304"/>
        <w:gridCol w:w="2304"/>
        <w:gridCol w:w="2304"/>
      </w:tblGrid>
      <w:tr w:rsidR="00F3183D" w14:paraId="2A41489B" w14:textId="77777777">
        <w:trPr>
          <w:tblHeader/>
          <w:jc w:val="center"/>
        </w:trPr>
        <w:tc>
          <w:tcPr>
            <w:tcW w:w="691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9A"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Sri Lanka SPI Indicator Data in 2024.</w:t>
            </w:r>
          </w:p>
        </w:tc>
      </w:tr>
      <w:tr w:rsidR="00F3183D" w14:paraId="2A41489F" w14:textId="77777777">
        <w:trPr>
          <w:tblHeader/>
          <w:jc w:val="center"/>
        </w:trPr>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9C"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Indicator</w:t>
            </w:r>
          </w:p>
        </w:tc>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9D"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Scored Value</w:t>
            </w:r>
          </w:p>
        </w:tc>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9E"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Method, Standard, or Classification</w:t>
            </w:r>
          </w:p>
        </w:tc>
      </w:tr>
      <w:tr w:rsidR="00F3183D" w14:paraId="2A4148A3" w14:textId="77777777">
        <w:trPr>
          <w:jc w:val="center"/>
        </w:trPr>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0"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System of national accounts in use</w:t>
            </w:r>
          </w:p>
        </w:tc>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1"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2"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Country uses the 2008 System of National Accounts methodology</w:t>
            </w:r>
          </w:p>
        </w:tc>
      </w:tr>
      <w:tr w:rsidR="00F3183D" w14:paraId="2A4148A7"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4"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National Accounts base year</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5"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0.5</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6"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2015</w:t>
            </w:r>
          </w:p>
        </w:tc>
      </w:tr>
      <w:tr w:rsidR="00F3183D" w14:paraId="2A4148AB"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8"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Classification of national industry</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9"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A"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rev4</w:t>
            </w:r>
          </w:p>
        </w:tc>
      </w:tr>
      <w:tr w:rsidR="00F3183D" w14:paraId="2A4148AF"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C"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CPI base year</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D"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0.5</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AE"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Not Applicable/Available</w:t>
            </w:r>
          </w:p>
        </w:tc>
      </w:tr>
      <w:tr w:rsidR="00F3183D" w14:paraId="2A4148B3"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0"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Classification of household consumption</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1"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2"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Not Applicable/Available</w:t>
            </w:r>
          </w:p>
        </w:tc>
      </w:tr>
      <w:tr w:rsidR="00F3183D" w14:paraId="2A4148B7"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4"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Classification of status of employment</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5"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6"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Not Applicable/Available</w:t>
            </w:r>
          </w:p>
        </w:tc>
      </w:tr>
      <w:tr w:rsidR="00F3183D" w14:paraId="2A4148BB"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8"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Central government accounting status</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9"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A"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Not Applicable/Available</w:t>
            </w:r>
          </w:p>
        </w:tc>
      </w:tr>
      <w:tr w:rsidR="00F3183D" w14:paraId="2A4148BF"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C"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Compilation of government finance statistics</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D"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BE"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1986</w:t>
            </w:r>
          </w:p>
        </w:tc>
      </w:tr>
      <w:tr w:rsidR="00F3183D" w14:paraId="2A4148C3"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C0"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Compilation of monetary and financial statistics</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C1"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48C2"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Not Applicable/Available</w:t>
            </w:r>
          </w:p>
        </w:tc>
      </w:tr>
      <w:tr w:rsidR="00F3183D" w14:paraId="2A4148C7" w14:textId="77777777">
        <w:trPr>
          <w:jc w:val="center"/>
        </w:trPr>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C4"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Business process</w:t>
            </w:r>
          </w:p>
        </w:tc>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C5"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w:t>
            </w:r>
          </w:p>
        </w:tc>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48C6" w14:textId="77777777" w:rsidR="00F3183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Not Applicable/Available</w:t>
            </w:r>
          </w:p>
        </w:tc>
      </w:tr>
    </w:tbl>
    <w:p w14:paraId="2A4148C8" w14:textId="77777777" w:rsidR="00F3183D" w:rsidRDefault="00000000">
      <w:pPr>
        <w:pStyle w:val="Heading1"/>
      </w:pPr>
      <w:bookmarkStart w:id="17" w:name="Xc8dc283f59abb60f92f9b8869f95592d424b892"/>
      <w:bookmarkEnd w:id="16"/>
      <w:r>
        <w:t>ANNEX: Information on Scoring of Indicators</w:t>
      </w:r>
    </w:p>
    <w:p w14:paraId="2A4148C9" w14:textId="77777777" w:rsidR="00F3183D" w:rsidRDefault="00000000">
      <w:pPr>
        <w:pStyle w:val="FirstParagraph"/>
      </w:pPr>
      <w:r>
        <w:t>More information can be found at the following resource:</w:t>
      </w:r>
    </w:p>
    <w:p w14:paraId="2A4148CA" w14:textId="77777777" w:rsidR="00F3183D" w:rsidRDefault="00000000">
      <w:pPr>
        <w:pStyle w:val="BodyText"/>
      </w:pPr>
      <w:r>
        <w:t>https://worldbank.github.io/SPI/technical-documentation-of-spi-indicators.html</w:t>
      </w:r>
    </w:p>
    <w:tbl>
      <w:tblPr>
        <w:tblStyle w:val="Table"/>
        <w:tblW w:w="5000" w:type="pct"/>
        <w:tblLayout w:type="fixed"/>
        <w:tblLook w:val="0020" w:firstRow="1" w:lastRow="0" w:firstColumn="0" w:lastColumn="0" w:noHBand="0" w:noVBand="0"/>
      </w:tblPr>
      <w:tblGrid>
        <w:gridCol w:w="2267"/>
        <w:gridCol w:w="3414"/>
        <w:gridCol w:w="3895"/>
      </w:tblGrid>
      <w:tr w:rsidR="00F3183D" w14:paraId="2A4148CE" w14:textId="77777777" w:rsidTr="00F3183D">
        <w:trPr>
          <w:cnfStyle w:val="100000000000" w:firstRow="1" w:lastRow="0" w:firstColumn="0" w:lastColumn="0" w:oddVBand="0" w:evenVBand="0" w:oddHBand="0" w:evenHBand="0" w:firstRowFirstColumn="0" w:firstRowLastColumn="0" w:lastRowFirstColumn="0" w:lastRowLastColumn="0"/>
          <w:tblHeader/>
        </w:trPr>
        <w:tc>
          <w:tcPr>
            <w:tcW w:w="1875" w:type="dxa"/>
          </w:tcPr>
          <w:p w14:paraId="2A4148CB" w14:textId="77777777" w:rsidR="00F3183D" w:rsidRDefault="00000000">
            <w:pPr>
              <w:pStyle w:val="Compact"/>
            </w:pPr>
            <w:r>
              <w:rPr>
                <w:b/>
                <w:bCs/>
              </w:rPr>
              <w:t>Indicator Name</w:t>
            </w:r>
          </w:p>
        </w:tc>
        <w:tc>
          <w:tcPr>
            <w:tcW w:w="2823" w:type="dxa"/>
          </w:tcPr>
          <w:p w14:paraId="2A4148CC" w14:textId="77777777" w:rsidR="00F3183D" w:rsidRDefault="00000000">
            <w:pPr>
              <w:pStyle w:val="Compact"/>
            </w:pPr>
            <w:r>
              <w:rPr>
                <w:b/>
                <w:bCs/>
              </w:rPr>
              <w:t>Brief Description</w:t>
            </w:r>
          </w:p>
        </w:tc>
        <w:tc>
          <w:tcPr>
            <w:tcW w:w="3221" w:type="dxa"/>
          </w:tcPr>
          <w:p w14:paraId="2A4148CD" w14:textId="77777777" w:rsidR="00F3183D" w:rsidRDefault="00000000">
            <w:pPr>
              <w:pStyle w:val="Compact"/>
            </w:pPr>
            <w:r>
              <w:rPr>
                <w:b/>
                <w:bCs/>
              </w:rPr>
              <w:t>Scoring</w:t>
            </w:r>
          </w:p>
        </w:tc>
      </w:tr>
      <w:tr w:rsidR="00F3183D" w14:paraId="2A4148D2" w14:textId="77777777">
        <w:tc>
          <w:tcPr>
            <w:tcW w:w="1875" w:type="dxa"/>
          </w:tcPr>
          <w:p w14:paraId="2A4148CF" w14:textId="77777777" w:rsidR="00F3183D" w:rsidRDefault="00000000">
            <w:pPr>
              <w:pStyle w:val="Compact"/>
            </w:pPr>
            <w:r>
              <w:t>Availability of Comparable Poverty headcount ratio at $2.15 a day</w:t>
            </w:r>
          </w:p>
        </w:tc>
        <w:tc>
          <w:tcPr>
            <w:tcW w:w="2823" w:type="dxa"/>
          </w:tcPr>
          <w:p w14:paraId="2A4148D0" w14:textId="77777777" w:rsidR="00F3183D" w:rsidRDefault="00000000">
            <w:pPr>
              <w:pStyle w:val="Compact"/>
            </w:pPr>
            <w:r>
              <w:t>Comparability data from World Bank’s PIP</w:t>
            </w:r>
          </w:p>
        </w:tc>
        <w:tc>
          <w:tcPr>
            <w:tcW w:w="3221" w:type="dxa"/>
          </w:tcPr>
          <w:p w14:paraId="2A4148D1" w14:textId="77777777" w:rsidR="00F3183D" w:rsidRDefault="00000000">
            <w:pPr>
              <w:pStyle w:val="Compact"/>
            </w:pPr>
            <w:r>
              <w:t>1 Point. Comparable data lasting at least two years within past 5 years. 0.5 Point. Comparable data lasting at least two years within past 10 years. 0 Points. No comparable data within past 5 years</w:t>
            </w:r>
          </w:p>
        </w:tc>
      </w:tr>
      <w:tr w:rsidR="00F3183D" w14:paraId="2A4148D6" w14:textId="77777777">
        <w:tc>
          <w:tcPr>
            <w:tcW w:w="1875" w:type="dxa"/>
          </w:tcPr>
          <w:p w14:paraId="2A4148D3" w14:textId="77777777" w:rsidR="00F3183D" w:rsidRDefault="00000000">
            <w:pPr>
              <w:pStyle w:val="Compact"/>
            </w:pPr>
            <w:r>
              <w:lastRenderedPageBreak/>
              <w:t>Availability of Mortality rate under-5 (per 1000 live births) data meeting quality standards</w:t>
            </w:r>
          </w:p>
        </w:tc>
        <w:tc>
          <w:tcPr>
            <w:tcW w:w="2823" w:type="dxa"/>
          </w:tcPr>
          <w:p w14:paraId="2A4148D4" w14:textId="77777777" w:rsidR="00F3183D" w:rsidRDefault="00000000">
            <w:pPr>
              <w:pStyle w:val="Compact"/>
            </w:pPr>
            <w:r>
              <w:t>Child Mortality Metadata from UN IGME</w:t>
            </w:r>
          </w:p>
        </w:tc>
        <w:tc>
          <w:tcPr>
            <w:tcW w:w="3221" w:type="dxa"/>
          </w:tcPr>
          <w:p w14:paraId="2A4148D5" w14:textId="77777777" w:rsidR="00F3183D" w:rsidRDefault="00000000">
            <w:pPr>
              <w:pStyle w:val="Compact"/>
            </w:pPr>
            <w:r>
              <w:t>1 Point. Two indicators that met UN IGME standards within past 5 years. 0.5 Point. Two indicators that met UN IGME standards within past 10 years. 0 Points. No data that met UN IGME standards within past 10 years</w:t>
            </w:r>
          </w:p>
        </w:tc>
      </w:tr>
      <w:tr w:rsidR="00F3183D" w14:paraId="2A4148DA" w14:textId="77777777">
        <w:tc>
          <w:tcPr>
            <w:tcW w:w="1875" w:type="dxa"/>
          </w:tcPr>
          <w:p w14:paraId="2A4148D7" w14:textId="77777777" w:rsidR="00F3183D" w:rsidRDefault="00000000">
            <w:pPr>
              <w:pStyle w:val="Compact"/>
            </w:pPr>
            <w:r>
              <w:t>Quality of Debt service data according to World Bank</w:t>
            </w:r>
          </w:p>
        </w:tc>
        <w:tc>
          <w:tcPr>
            <w:tcW w:w="2823" w:type="dxa"/>
          </w:tcPr>
          <w:p w14:paraId="2A4148D8" w14:textId="77777777" w:rsidR="00F3183D" w:rsidRDefault="00000000">
            <w:pPr>
              <w:pStyle w:val="Compact"/>
            </w:pPr>
            <w:r>
              <w:t>Debt Reporting Metadata from World Bank</w:t>
            </w:r>
          </w:p>
        </w:tc>
        <w:tc>
          <w:tcPr>
            <w:tcW w:w="3221" w:type="dxa"/>
          </w:tcPr>
          <w:p w14:paraId="2A4148D9" w14:textId="77777777" w:rsidR="00F3183D" w:rsidRDefault="00000000">
            <w:pPr>
              <w:pStyle w:val="Compact"/>
            </w:pPr>
            <w:r>
              <w:t>1 Points. Actual value. 0.67 Points. Preliminary value. 0.33 Points. Estimated value. 0 Points. No value</w:t>
            </w:r>
          </w:p>
        </w:tc>
      </w:tr>
      <w:tr w:rsidR="00F3183D" w14:paraId="2A4148DE" w14:textId="77777777">
        <w:tc>
          <w:tcPr>
            <w:tcW w:w="1875" w:type="dxa"/>
          </w:tcPr>
          <w:p w14:paraId="2A4148DB" w14:textId="77777777" w:rsidR="00F3183D" w:rsidRDefault="00000000">
            <w:pPr>
              <w:pStyle w:val="Compact"/>
            </w:pPr>
            <w:r>
              <w:t>Safely Managed Drinking Water</w:t>
            </w:r>
          </w:p>
        </w:tc>
        <w:tc>
          <w:tcPr>
            <w:tcW w:w="2823" w:type="dxa"/>
          </w:tcPr>
          <w:p w14:paraId="2A4148DC" w14:textId="77777777" w:rsidR="00F3183D" w:rsidRDefault="00000000">
            <w:pPr>
              <w:pStyle w:val="Compact"/>
            </w:pPr>
            <w:r>
              <w:t>Availability of Safely Managed Drinking Water data for use by JMP</w:t>
            </w:r>
          </w:p>
        </w:tc>
        <w:tc>
          <w:tcPr>
            <w:tcW w:w="3221" w:type="dxa"/>
          </w:tcPr>
          <w:p w14:paraId="2A4148DD" w14:textId="77777777" w:rsidR="00F3183D" w:rsidRDefault="00000000">
            <w:pPr>
              <w:pStyle w:val="Compact"/>
            </w:pPr>
            <w:r>
              <w:t>1 Point. At least two estimates with breakdowns for urban/rural areas within an 8 year window. 0.5 Points. At least two estimates but not an urban/rural breakdown within an 8 year window. 0 Points. Otherwise</w:t>
            </w:r>
          </w:p>
        </w:tc>
      </w:tr>
      <w:tr w:rsidR="00F3183D" w14:paraId="2A4148E2" w14:textId="77777777">
        <w:tc>
          <w:tcPr>
            <w:tcW w:w="1875" w:type="dxa"/>
          </w:tcPr>
          <w:p w14:paraId="2A4148DF" w14:textId="77777777" w:rsidR="00F3183D" w:rsidRDefault="00000000">
            <w:pPr>
              <w:pStyle w:val="Compact"/>
            </w:pPr>
            <w:r>
              <w:t>Labor force participation rate by sex and age (%)</w:t>
            </w:r>
          </w:p>
        </w:tc>
        <w:tc>
          <w:tcPr>
            <w:tcW w:w="2823" w:type="dxa"/>
          </w:tcPr>
          <w:p w14:paraId="2A4148E0" w14:textId="77777777" w:rsidR="00F3183D" w:rsidRDefault="00000000">
            <w:pPr>
              <w:pStyle w:val="Compact"/>
            </w:pPr>
            <w:r>
              <w:t>Labor force participation data for use by ILO</w:t>
            </w:r>
          </w:p>
        </w:tc>
        <w:tc>
          <w:tcPr>
            <w:tcW w:w="3221" w:type="dxa"/>
          </w:tcPr>
          <w:p w14:paraId="2A4148E1" w14:textId="77777777" w:rsidR="00F3183D" w:rsidRDefault="00000000">
            <w:pPr>
              <w:pStyle w:val="Compact"/>
            </w:pPr>
            <w:r>
              <w:t>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rsidR="00F3183D" w14:paraId="2A4148E6" w14:textId="77777777">
        <w:tc>
          <w:tcPr>
            <w:tcW w:w="1875" w:type="dxa"/>
          </w:tcPr>
          <w:p w14:paraId="2A4148E3" w14:textId="77777777" w:rsidR="00F3183D" w:rsidRDefault="00000000">
            <w:pPr>
              <w:pStyle w:val="Compact"/>
            </w:pPr>
            <w:r>
              <w:t>SDDS/e-GDDS subscription</w:t>
            </w:r>
          </w:p>
        </w:tc>
        <w:tc>
          <w:tcPr>
            <w:tcW w:w="2823" w:type="dxa"/>
          </w:tcPr>
          <w:p w14:paraId="2A4148E4" w14:textId="77777777" w:rsidR="00F3183D" w:rsidRDefault="00000000">
            <w:pPr>
              <w:pStyle w:val="Compact"/>
            </w:pPr>
            <w:r>
              <w:t xml:space="preserve">The Special Data Dissemination Standard (SDDS) and electronic General Data Dissemination Standard (e-GDDS) were </w:t>
            </w:r>
            <w:r>
              <w:lastRenderedPageBreak/>
              <w:t>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tcW w:w="3221" w:type="dxa"/>
          </w:tcPr>
          <w:p w14:paraId="2A4148E5" w14:textId="77777777" w:rsidR="00F3183D" w:rsidRDefault="00000000">
            <w:pPr>
              <w:pStyle w:val="Compact"/>
            </w:pPr>
            <w:r>
              <w:lastRenderedPageBreak/>
              <w:t>Point. Subscribing to IMF SDDS+ or SDDS standards. 0.5 Points. Subscribing to IMF e-GDDS standards. 0 Points. Otherwise</w:t>
            </w:r>
          </w:p>
        </w:tc>
      </w:tr>
      <w:tr w:rsidR="00F3183D" w14:paraId="2A4148EA" w14:textId="77777777">
        <w:tc>
          <w:tcPr>
            <w:tcW w:w="1875" w:type="dxa"/>
          </w:tcPr>
          <w:p w14:paraId="2A4148E7" w14:textId="77777777" w:rsidR="00F3183D" w:rsidRDefault="00000000">
            <w:pPr>
              <w:pStyle w:val="Compact"/>
            </w:pPr>
            <w:r>
              <w:t>ODIN Open Data Openness score</w:t>
            </w:r>
          </w:p>
        </w:tc>
        <w:tc>
          <w:tcPr>
            <w:tcW w:w="2823" w:type="dxa"/>
          </w:tcPr>
          <w:p w14:paraId="2A4148E8" w14:textId="77777777" w:rsidR="00F3183D" w:rsidRDefault="00000000">
            <w:pPr>
              <w:pStyle w:val="Compact"/>
            </w:pPr>
            <w:r>
              <w:t>ODW Openness score</w:t>
            </w:r>
          </w:p>
        </w:tc>
        <w:tc>
          <w:tcPr>
            <w:tcW w:w="3221" w:type="dxa"/>
          </w:tcPr>
          <w:p w14:paraId="2A4148E9" w14:textId="77777777" w:rsidR="00F3183D" w:rsidRDefault="00000000">
            <w:pPr>
              <w:pStyle w:val="Compact"/>
            </w:pPr>
            <w:r>
              <w:t>Our source for this indicator is Open Data Watch. Scores range from 0-100. For more details consult the ODIN technical documentation.</w:t>
            </w:r>
          </w:p>
        </w:tc>
      </w:tr>
      <w:tr w:rsidR="00F3183D" w14:paraId="2A4148EE" w14:textId="77777777">
        <w:tc>
          <w:tcPr>
            <w:tcW w:w="1875" w:type="dxa"/>
          </w:tcPr>
          <w:p w14:paraId="2A4148EB" w14:textId="77777777" w:rsidR="00F3183D" w:rsidRDefault="00000000">
            <w:pPr>
              <w:pStyle w:val="Compact"/>
            </w:pPr>
            <w:r>
              <w:t>NADA metadata</w:t>
            </w:r>
          </w:p>
        </w:tc>
        <w:tc>
          <w:tcPr>
            <w:tcW w:w="2823" w:type="dxa"/>
          </w:tcPr>
          <w:p w14:paraId="2A4148EC" w14:textId="77777777" w:rsidR="00F3183D" w:rsidRDefault="00000000">
            <w:pPr>
              <w:pStyle w:val="Compact"/>
            </w:pPr>
            <w:r>
              <w:t>NADA/NSO websites. Statistical systems must be open and transparent about their methods and procedures and provide access to adequate metadata – detailed descriptions of the methods and procedures used to produce microddata.</w:t>
            </w:r>
          </w:p>
        </w:tc>
        <w:tc>
          <w:tcPr>
            <w:tcW w:w="3221" w:type="dxa"/>
          </w:tcPr>
          <w:p w14:paraId="2A4148ED" w14:textId="77777777" w:rsidR="00F3183D" w:rsidRDefault="00000000">
            <w:pPr>
              <w:pStyle w:val="Compact"/>
            </w:pPr>
            <w:r>
              <w:t>1 Point. Yes available. 0 Points. No.</w:t>
            </w:r>
          </w:p>
        </w:tc>
      </w:tr>
      <w:tr w:rsidR="00F3183D" w14:paraId="2A4148F2" w14:textId="77777777">
        <w:tc>
          <w:tcPr>
            <w:tcW w:w="1875" w:type="dxa"/>
          </w:tcPr>
          <w:p w14:paraId="2A4148EF" w14:textId="77777777" w:rsidR="00F3183D" w:rsidRDefault="00000000">
            <w:pPr>
              <w:pStyle w:val="Compact"/>
            </w:pPr>
            <w:r>
              <w:t>GOAL 1: No Poverty</w:t>
            </w:r>
          </w:p>
        </w:tc>
        <w:tc>
          <w:tcPr>
            <w:tcW w:w="2823" w:type="dxa"/>
          </w:tcPr>
          <w:p w14:paraId="2A4148F0" w14:textId="77777777" w:rsidR="00F3183D" w:rsidRDefault="00000000">
            <w:pPr>
              <w:pStyle w:val="Compact"/>
            </w:pPr>
            <w:r>
              <w:t xml:space="preserve">SDG Goal 1 data availability. Source: UN Global SDG </w:t>
            </w:r>
            <w:r>
              <w:lastRenderedPageBreak/>
              <w:t>Indicators Database</w:t>
            </w:r>
          </w:p>
        </w:tc>
        <w:tc>
          <w:tcPr>
            <w:tcW w:w="3221" w:type="dxa"/>
          </w:tcPr>
          <w:p w14:paraId="2A4148F1" w14:textId="77777777" w:rsidR="00F3183D" w:rsidRDefault="00000000">
            <w:pPr>
              <w:pStyle w:val="Compact"/>
            </w:pPr>
            <w:r>
              <w:lastRenderedPageBreak/>
              <w:t xml:space="preserve">Fraction of Indicators in Goal 1 with value produced by country’s </w:t>
            </w:r>
            <w:r>
              <w:lastRenderedPageBreak/>
              <w:t>statistical system within a 5-year window.</w:t>
            </w:r>
          </w:p>
        </w:tc>
      </w:tr>
      <w:tr w:rsidR="00F3183D" w14:paraId="2A4148F6" w14:textId="77777777">
        <w:tc>
          <w:tcPr>
            <w:tcW w:w="1875" w:type="dxa"/>
          </w:tcPr>
          <w:p w14:paraId="2A4148F3" w14:textId="77777777" w:rsidR="00F3183D" w:rsidRDefault="00000000">
            <w:pPr>
              <w:pStyle w:val="Compact"/>
            </w:pPr>
            <w:r>
              <w:lastRenderedPageBreak/>
              <w:t>GOAL 2: Zero Hunger</w:t>
            </w:r>
          </w:p>
        </w:tc>
        <w:tc>
          <w:tcPr>
            <w:tcW w:w="2823" w:type="dxa"/>
          </w:tcPr>
          <w:p w14:paraId="2A4148F4" w14:textId="77777777" w:rsidR="00F3183D" w:rsidRDefault="00000000">
            <w:pPr>
              <w:pStyle w:val="Compact"/>
            </w:pPr>
            <w:r>
              <w:t>SDG Goal 2 data availability. Source: UN Global SDG Indicators Database</w:t>
            </w:r>
          </w:p>
        </w:tc>
        <w:tc>
          <w:tcPr>
            <w:tcW w:w="3221" w:type="dxa"/>
          </w:tcPr>
          <w:p w14:paraId="2A4148F5" w14:textId="77777777" w:rsidR="00F3183D" w:rsidRDefault="00000000">
            <w:pPr>
              <w:pStyle w:val="Compact"/>
            </w:pPr>
            <w:r>
              <w:t>Fraction of Indicators in Goal 2 with value produced by country’s statistical system within a 5-year window.</w:t>
            </w:r>
          </w:p>
        </w:tc>
      </w:tr>
      <w:tr w:rsidR="00F3183D" w14:paraId="2A4148FA" w14:textId="77777777">
        <w:tc>
          <w:tcPr>
            <w:tcW w:w="1875" w:type="dxa"/>
          </w:tcPr>
          <w:p w14:paraId="2A4148F7" w14:textId="77777777" w:rsidR="00F3183D" w:rsidRDefault="00000000">
            <w:pPr>
              <w:pStyle w:val="Compact"/>
            </w:pPr>
            <w:r>
              <w:t>GOAL 3: Good Health and Well-being</w:t>
            </w:r>
          </w:p>
        </w:tc>
        <w:tc>
          <w:tcPr>
            <w:tcW w:w="2823" w:type="dxa"/>
          </w:tcPr>
          <w:p w14:paraId="2A4148F8" w14:textId="77777777" w:rsidR="00F3183D" w:rsidRDefault="00000000">
            <w:pPr>
              <w:pStyle w:val="Compact"/>
            </w:pPr>
            <w:r>
              <w:t>SDG Goal 3 data availability. Source: UN Global SDG Indicators Database</w:t>
            </w:r>
          </w:p>
        </w:tc>
        <w:tc>
          <w:tcPr>
            <w:tcW w:w="3221" w:type="dxa"/>
          </w:tcPr>
          <w:p w14:paraId="2A4148F9" w14:textId="77777777" w:rsidR="00F3183D" w:rsidRDefault="00000000">
            <w:pPr>
              <w:pStyle w:val="Compact"/>
            </w:pPr>
            <w:r>
              <w:t>Fraction of Indicators in Goal 3 with value produced by country’s statistical system within a 5-year window.</w:t>
            </w:r>
          </w:p>
        </w:tc>
      </w:tr>
      <w:tr w:rsidR="00F3183D" w14:paraId="2A4148FE" w14:textId="77777777">
        <w:tc>
          <w:tcPr>
            <w:tcW w:w="1875" w:type="dxa"/>
          </w:tcPr>
          <w:p w14:paraId="2A4148FB" w14:textId="77777777" w:rsidR="00F3183D" w:rsidRDefault="00000000">
            <w:pPr>
              <w:pStyle w:val="Compact"/>
            </w:pPr>
            <w:r>
              <w:t>GOAL 4: Quality Education</w:t>
            </w:r>
          </w:p>
        </w:tc>
        <w:tc>
          <w:tcPr>
            <w:tcW w:w="2823" w:type="dxa"/>
          </w:tcPr>
          <w:p w14:paraId="2A4148FC" w14:textId="77777777" w:rsidR="00F3183D" w:rsidRDefault="00000000">
            <w:pPr>
              <w:pStyle w:val="Compact"/>
            </w:pPr>
            <w:r>
              <w:t>SDG Goal 4 data availability. Source: UN Global SDG Indicators Database</w:t>
            </w:r>
          </w:p>
        </w:tc>
        <w:tc>
          <w:tcPr>
            <w:tcW w:w="3221" w:type="dxa"/>
          </w:tcPr>
          <w:p w14:paraId="2A4148FD" w14:textId="77777777" w:rsidR="00F3183D" w:rsidRDefault="00000000">
            <w:pPr>
              <w:pStyle w:val="Compact"/>
            </w:pPr>
            <w:r>
              <w:t>Fraction of Indicators in Goal 4 with value produced by country’s statistical system within a 5-year window.</w:t>
            </w:r>
          </w:p>
        </w:tc>
      </w:tr>
      <w:tr w:rsidR="00F3183D" w14:paraId="2A414902" w14:textId="77777777">
        <w:tc>
          <w:tcPr>
            <w:tcW w:w="1875" w:type="dxa"/>
          </w:tcPr>
          <w:p w14:paraId="2A4148FF" w14:textId="77777777" w:rsidR="00F3183D" w:rsidRDefault="00000000">
            <w:pPr>
              <w:pStyle w:val="Compact"/>
            </w:pPr>
            <w:r>
              <w:t>GOAL 5: Gender Equality</w:t>
            </w:r>
          </w:p>
        </w:tc>
        <w:tc>
          <w:tcPr>
            <w:tcW w:w="2823" w:type="dxa"/>
          </w:tcPr>
          <w:p w14:paraId="2A414900" w14:textId="77777777" w:rsidR="00F3183D" w:rsidRDefault="00000000">
            <w:pPr>
              <w:pStyle w:val="Compact"/>
            </w:pPr>
            <w:r>
              <w:t>SDG Goal 5 data availability. Source: UN Global SDG Indicators Database</w:t>
            </w:r>
          </w:p>
        </w:tc>
        <w:tc>
          <w:tcPr>
            <w:tcW w:w="3221" w:type="dxa"/>
          </w:tcPr>
          <w:p w14:paraId="2A414901" w14:textId="77777777" w:rsidR="00F3183D" w:rsidRDefault="00000000">
            <w:pPr>
              <w:pStyle w:val="Compact"/>
            </w:pPr>
            <w:r>
              <w:t>Fraction of Indicators in Goal 5 with value produced by country’s statistical system within a 5-year window.</w:t>
            </w:r>
          </w:p>
        </w:tc>
      </w:tr>
      <w:tr w:rsidR="00F3183D" w14:paraId="2A414906" w14:textId="77777777">
        <w:tc>
          <w:tcPr>
            <w:tcW w:w="1875" w:type="dxa"/>
          </w:tcPr>
          <w:p w14:paraId="2A414903" w14:textId="77777777" w:rsidR="00F3183D" w:rsidRDefault="00000000">
            <w:pPr>
              <w:pStyle w:val="Compact"/>
            </w:pPr>
            <w:r>
              <w:t>GOAL 6: Clean Water and Sanitation</w:t>
            </w:r>
          </w:p>
        </w:tc>
        <w:tc>
          <w:tcPr>
            <w:tcW w:w="2823" w:type="dxa"/>
          </w:tcPr>
          <w:p w14:paraId="2A414904" w14:textId="77777777" w:rsidR="00F3183D" w:rsidRDefault="00000000">
            <w:pPr>
              <w:pStyle w:val="Compact"/>
            </w:pPr>
            <w:r>
              <w:t>SDG Goal 6 data availability. Source: UN Global SDG Indicators Database</w:t>
            </w:r>
          </w:p>
        </w:tc>
        <w:tc>
          <w:tcPr>
            <w:tcW w:w="3221" w:type="dxa"/>
          </w:tcPr>
          <w:p w14:paraId="2A414905" w14:textId="77777777" w:rsidR="00F3183D" w:rsidRDefault="00000000">
            <w:pPr>
              <w:pStyle w:val="Compact"/>
            </w:pPr>
            <w:r>
              <w:t>Fraction of Indicators in Goal 6 with value produced by country’s statistical system within a 5-year window.</w:t>
            </w:r>
          </w:p>
        </w:tc>
      </w:tr>
      <w:tr w:rsidR="00F3183D" w14:paraId="2A41490A" w14:textId="77777777">
        <w:tc>
          <w:tcPr>
            <w:tcW w:w="1875" w:type="dxa"/>
          </w:tcPr>
          <w:p w14:paraId="2A414907" w14:textId="77777777" w:rsidR="00F3183D" w:rsidRDefault="00000000">
            <w:pPr>
              <w:pStyle w:val="Compact"/>
            </w:pPr>
            <w:r>
              <w:t>GOAL 7: Affordable and Clean Energy</w:t>
            </w:r>
          </w:p>
        </w:tc>
        <w:tc>
          <w:tcPr>
            <w:tcW w:w="2823" w:type="dxa"/>
          </w:tcPr>
          <w:p w14:paraId="2A414908" w14:textId="77777777" w:rsidR="00F3183D" w:rsidRDefault="00000000">
            <w:pPr>
              <w:pStyle w:val="Compact"/>
            </w:pPr>
            <w:r>
              <w:t>SDG Goal 7 data availability. Source: UN Global SDG Indicators Database</w:t>
            </w:r>
          </w:p>
        </w:tc>
        <w:tc>
          <w:tcPr>
            <w:tcW w:w="3221" w:type="dxa"/>
          </w:tcPr>
          <w:p w14:paraId="2A414909" w14:textId="77777777" w:rsidR="00F3183D" w:rsidRDefault="00000000">
            <w:pPr>
              <w:pStyle w:val="Compact"/>
            </w:pPr>
            <w:r>
              <w:t>Fraction of Indicators in Goal 7 with value produced by country’s statistical system within a 5-year window.</w:t>
            </w:r>
          </w:p>
        </w:tc>
      </w:tr>
      <w:tr w:rsidR="00F3183D" w14:paraId="2A41490E" w14:textId="77777777">
        <w:tc>
          <w:tcPr>
            <w:tcW w:w="1875" w:type="dxa"/>
          </w:tcPr>
          <w:p w14:paraId="2A41490B" w14:textId="77777777" w:rsidR="00F3183D" w:rsidRDefault="00000000">
            <w:pPr>
              <w:pStyle w:val="Compact"/>
            </w:pPr>
            <w:r>
              <w:t>GOAL 8: Decent Work and Economic Growth</w:t>
            </w:r>
          </w:p>
        </w:tc>
        <w:tc>
          <w:tcPr>
            <w:tcW w:w="2823" w:type="dxa"/>
          </w:tcPr>
          <w:p w14:paraId="2A41490C" w14:textId="77777777" w:rsidR="00F3183D" w:rsidRDefault="00000000">
            <w:pPr>
              <w:pStyle w:val="Compact"/>
            </w:pPr>
            <w:r>
              <w:t>SDG Goal 8 data availability. Source: UN Global SDG Indicators Database</w:t>
            </w:r>
          </w:p>
        </w:tc>
        <w:tc>
          <w:tcPr>
            <w:tcW w:w="3221" w:type="dxa"/>
          </w:tcPr>
          <w:p w14:paraId="2A41490D" w14:textId="77777777" w:rsidR="00F3183D" w:rsidRDefault="00000000">
            <w:pPr>
              <w:pStyle w:val="Compact"/>
            </w:pPr>
            <w:r>
              <w:t>Fraction of Indicators in Goal 8 with value produced by country’s statistical system within a 5-year window.</w:t>
            </w:r>
          </w:p>
        </w:tc>
      </w:tr>
      <w:tr w:rsidR="00F3183D" w14:paraId="2A414912" w14:textId="77777777">
        <w:tc>
          <w:tcPr>
            <w:tcW w:w="1875" w:type="dxa"/>
          </w:tcPr>
          <w:p w14:paraId="2A41490F" w14:textId="77777777" w:rsidR="00F3183D" w:rsidRDefault="00000000">
            <w:pPr>
              <w:pStyle w:val="Compact"/>
            </w:pPr>
            <w:r>
              <w:t>GOAL 9: Industry Innovation and Infrastructure</w:t>
            </w:r>
          </w:p>
        </w:tc>
        <w:tc>
          <w:tcPr>
            <w:tcW w:w="2823" w:type="dxa"/>
          </w:tcPr>
          <w:p w14:paraId="2A414910" w14:textId="77777777" w:rsidR="00F3183D" w:rsidRDefault="00000000">
            <w:pPr>
              <w:pStyle w:val="Compact"/>
            </w:pPr>
            <w:r>
              <w:t>SDG Goal 9 data availability. Source: UN Global SDG Indicators Database</w:t>
            </w:r>
          </w:p>
        </w:tc>
        <w:tc>
          <w:tcPr>
            <w:tcW w:w="3221" w:type="dxa"/>
          </w:tcPr>
          <w:p w14:paraId="2A414911" w14:textId="77777777" w:rsidR="00F3183D" w:rsidRDefault="00000000">
            <w:pPr>
              <w:pStyle w:val="Compact"/>
            </w:pPr>
            <w:r>
              <w:t>Fraction of Indicators in Goal 9 with value produced by country’s statistical system within a 5-year window.</w:t>
            </w:r>
          </w:p>
        </w:tc>
      </w:tr>
      <w:tr w:rsidR="00F3183D" w14:paraId="2A414916" w14:textId="77777777">
        <w:tc>
          <w:tcPr>
            <w:tcW w:w="1875" w:type="dxa"/>
          </w:tcPr>
          <w:p w14:paraId="2A414913" w14:textId="77777777" w:rsidR="00F3183D" w:rsidRDefault="00000000">
            <w:pPr>
              <w:pStyle w:val="Compact"/>
            </w:pPr>
            <w:r>
              <w:lastRenderedPageBreak/>
              <w:t>GOAL 10: Reduced Inequality</w:t>
            </w:r>
          </w:p>
        </w:tc>
        <w:tc>
          <w:tcPr>
            <w:tcW w:w="2823" w:type="dxa"/>
          </w:tcPr>
          <w:p w14:paraId="2A414914" w14:textId="77777777" w:rsidR="00F3183D" w:rsidRDefault="00000000">
            <w:pPr>
              <w:pStyle w:val="Compact"/>
            </w:pPr>
            <w:r>
              <w:t>SDG Goal 10 data availability. Source: UN Global SDG Indicators Database</w:t>
            </w:r>
          </w:p>
        </w:tc>
        <w:tc>
          <w:tcPr>
            <w:tcW w:w="3221" w:type="dxa"/>
          </w:tcPr>
          <w:p w14:paraId="2A414915" w14:textId="77777777" w:rsidR="00F3183D" w:rsidRDefault="00000000">
            <w:pPr>
              <w:pStyle w:val="Compact"/>
            </w:pPr>
            <w:r>
              <w:t>Fraction of Indicators in Goal 10 with value produced by country’s statistical system within a 5-year window.</w:t>
            </w:r>
          </w:p>
        </w:tc>
      </w:tr>
      <w:tr w:rsidR="00F3183D" w14:paraId="2A41491A" w14:textId="77777777">
        <w:tc>
          <w:tcPr>
            <w:tcW w:w="1875" w:type="dxa"/>
          </w:tcPr>
          <w:p w14:paraId="2A414917" w14:textId="77777777" w:rsidR="00F3183D" w:rsidRDefault="00000000">
            <w:pPr>
              <w:pStyle w:val="Compact"/>
            </w:pPr>
            <w:r>
              <w:t>GOAL 11: Sustainable Cities and Communities</w:t>
            </w:r>
          </w:p>
        </w:tc>
        <w:tc>
          <w:tcPr>
            <w:tcW w:w="2823" w:type="dxa"/>
          </w:tcPr>
          <w:p w14:paraId="2A414918" w14:textId="77777777" w:rsidR="00F3183D" w:rsidRDefault="00000000">
            <w:pPr>
              <w:pStyle w:val="Compact"/>
            </w:pPr>
            <w:r>
              <w:t>SDG Goal 11 data availability. Source: UN Global SDG Indicators Database</w:t>
            </w:r>
          </w:p>
        </w:tc>
        <w:tc>
          <w:tcPr>
            <w:tcW w:w="3221" w:type="dxa"/>
          </w:tcPr>
          <w:p w14:paraId="2A414919" w14:textId="77777777" w:rsidR="00F3183D" w:rsidRDefault="00000000">
            <w:pPr>
              <w:pStyle w:val="Compact"/>
            </w:pPr>
            <w:r>
              <w:t>Fraction of Indicators in Goal 11 with value produced by country’s statistical system within a 5-year window.</w:t>
            </w:r>
          </w:p>
        </w:tc>
      </w:tr>
      <w:tr w:rsidR="00F3183D" w14:paraId="2A41491E" w14:textId="77777777">
        <w:tc>
          <w:tcPr>
            <w:tcW w:w="1875" w:type="dxa"/>
          </w:tcPr>
          <w:p w14:paraId="2A41491B" w14:textId="77777777" w:rsidR="00F3183D" w:rsidRDefault="00000000">
            <w:pPr>
              <w:pStyle w:val="Compact"/>
            </w:pPr>
            <w:r>
              <w:t>GOAL 12: Responsible Consumption and Production</w:t>
            </w:r>
          </w:p>
        </w:tc>
        <w:tc>
          <w:tcPr>
            <w:tcW w:w="2823" w:type="dxa"/>
          </w:tcPr>
          <w:p w14:paraId="2A41491C" w14:textId="77777777" w:rsidR="00F3183D" w:rsidRDefault="00000000">
            <w:pPr>
              <w:pStyle w:val="Compact"/>
            </w:pPr>
            <w:r>
              <w:t>SDG Goal 12 data availability. Source: UN Global SDG Indicators Database</w:t>
            </w:r>
          </w:p>
        </w:tc>
        <w:tc>
          <w:tcPr>
            <w:tcW w:w="3221" w:type="dxa"/>
          </w:tcPr>
          <w:p w14:paraId="2A41491D" w14:textId="77777777" w:rsidR="00F3183D" w:rsidRDefault="00000000">
            <w:pPr>
              <w:pStyle w:val="Compact"/>
            </w:pPr>
            <w:r>
              <w:t>Fraction of Indicators in Goal 12 with value produced by country’s statistical system within a 5-year window.</w:t>
            </w:r>
          </w:p>
        </w:tc>
      </w:tr>
      <w:tr w:rsidR="00F3183D" w14:paraId="2A414922" w14:textId="77777777">
        <w:tc>
          <w:tcPr>
            <w:tcW w:w="1875" w:type="dxa"/>
          </w:tcPr>
          <w:p w14:paraId="2A41491F" w14:textId="77777777" w:rsidR="00F3183D" w:rsidRDefault="00000000">
            <w:pPr>
              <w:pStyle w:val="Compact"/>
            </w:pPr>
            <w:r>
              <w:t>GOAL 13: Climate Action</w:t>
            </w:r>
          </w:p>
        </w:tc>
        <w:tc>
          <w:tcPr>
            <w:tcW w:w="2823" w:type="dxa"/>
          </w:tcPr>
          <w:p w14:paraId="2A414920" w14:textId="77777777" w:rsidR="00F3183D" w:rsidRDefault="00000000">
            <w:pPr>
              <w:pStyle w:val="Compact"/>
            </w:pPr>
            <w:r>
              <w:t>SDG Goal 13 data availability. Source: UN Global SDG Indicators Database</w:t>
            </w:r>
          </w:p>
        </w:tc>
        <w:tc>
          <w:tcPr>
            <w:tcW w:w="3221" w:type="dxa"/>
          </w:tcPr>
          <w:p w14:paraId="2A414921" w14:textId="77777777" w:rsidR="00F3183D" w:rsidRDefault="00000000">
            <w:pPr>
              <w:pStyle w:val="Compact"/>
            </w:pPr>
            <w:r>
              <w:t>Fraction of Indicators in Goal 13 with value produced by country’s statistical system within a 5-year window.</w:t>
            </w:r>
          </w:p>
        </w:tc>
      </w:tr>
      <w:tr w:rsidR="00F3183D" w14:paraId="2A414926" w14:textId="77777777">
        <w:tc>
          <w:tcPr>
            <w:tcW w:w="1875" w:type="dxa"/>
          </w:tcPr>
          <w:p w14:paraId="2A414923" w14:textId="77777777" w:rsidR="00F3183D" w:rsidRDefault="00000000">
            <w:pPr>
              <w:pStyle w:val="Compact"/>
            </w:pPr>
            <w:r>
              <w:t>GOAL 14: Life Below Water</w:t>
            </w:r>
          </w:p>
        </w:tc>
        <w:tc>
          <w:tcPr>
            <w:tcW w:w="2823" w:type="dxa"/>
          </w:tcPr>
          <w:p w14:paraId="2A414924" w14:textId="77777777" w:rsidR="00F3183D" w:rsidRDefault="00000000">
            <w:pPr>
              <w:pStyle w:val="Compact"/>
            </w:pPr>
            <w:r>
              <w:t>SDG Goal 14 data availability. Source: UN Global SDG Indicators Database</w:t>
            </w:r>
          </w:p>
        </w:tc>
        <w:tc>
          <w:tcPr>
            <w:tcW w:w="3221" w:type="dxa"/>
          </w:tcPr>
          <w:p w14:paraId="2A414925" w14:textId="77777777" w:rsidR="00F3183D" w:rsidRDefault="00000000">
            <w:pPr>
              <w:pStyle w:val="Compact"/>
            </w:pPr>
            <w:r>
              <w:t>Fraction of Indicators in Goal 14 with value produced by country’s statistical system within a 5-year window.</w:t>
            </w:r>
          </w:p>
        </w:tc>
      </w:tr>
      <w:tr w:rsidR="00F3183D" w14:paraId="2A41492A" w14:textId="77777777">
        <w:tc>
          <w:tcPr>
            <w:tcW w:w="1875" w:type="dxa"/>
          </w:tcPr>
          <w:p w14:paraId="2A414927" w14:textId="77777777" w:rsidR="00F3183D" w:rsidRDefault="00000000">
            <w:pPr>
              <w:pStyle w:val="Compact"/>
            </w:pPr>
            <w:r>
              <w:t>GOAL 15: Life on Land</w:t>
            </w:r>
          </w:p>
        </w:tc>
        <w:tc>
          <w:tcPr>
            <w:tcW w:w="2823" w:type="dxa"/>
          </w:tcPr>
          <w:p w14:paraId="2A414928" w14:textId="77777777" w:rsidR="00F3183D" w:rsidRDefault="00000000">
            <w:pPr>
              <w:pStyle w:val="Compact"/>
            </w:pPr>
            <w:r>
              <w:t>SDG Goal 15 data availability. Source: UN Global SDG Indicators Database</w:t>
            </w:r>
          </w:p>
        </w:tc>
        <w:tc>
          <w:tcPr>
            <w:tcW w:w="3221" w:type="dxa"/>
          </w:tcPr>
          <w:p w14:paraId="2A414929" w14:textId="77777777" w:rsidR="00F3183D" w:rsidRDefault="00000000">
            <w:pPr>
              <w:pStyle w:val="Compact"/>
            </w:pPr>
            <w:r>
              <w:t>Fraction of Indicators in Goal 15 with value produced by country’s statistical system within a 5-year window.</w:t>
            </w:r>
          </w:p>
        </w:tc>
      </w:tr>
      <w:tr w:rsidR="00F3183D" w14:paraId="2A41492E" w14:textId="77777777">
        <w:tc>
          <w:tcPr>
            <w:tcW w:w="1875" w:type="dxa"/>
          </w:tcPr>
          <w:p w14:paraId="2A41492B" w14:textId="77777777" w:rsidR="00F3183D" w:rsidRDefault="00000000">
            <w:pPr>
              <w:pStyle w:val="Compact"/>
            </w:pPr>
            <w:r>
              <w:t>GOAL 16: Peace and Justice Strong Institutions</w:t>
            </w:r>
          </w:p>
        </w:tc>
        <w:tc>
          <w:tcPr>
            <w:tcW w:w="2823" w:type="dxa"/>
          </w:tcPr>
          <w:p w14:paraId="2A41492C" w14:textId="77777777" w:rsidR="00F3183D" w:rsidRDefault="00000000">
            <w:pPr>
              <w:pStyle w:val="Compact"/>
            </w:pPr>
            <w:r>
              <w:t>SDG Goal 16 data availability. Source: UN Global SDG Indicators Database</w:t>
            </w:r>
          </w:p>
        </w:tc>
        <w:tc>
          <w:tcPr>
            <w:tcW w:w="3221" w:type="dxa"/>
          </w:tcPr>
          <w:p w14:paraId="2A41492D" w14:textId="77777777" w:rsidR="00F3183D" w:rsidRDefault="00000000">
            <w:pPr>
              <w:pStyle w:val="Compact"/>
            </w:pPr>
            <w:r>
              <w:t>Fraction of Indicators in Goal 16 with value produced by country’s statistical system within a 5-year window.</w:t>
            </w:r>
          </w:p>
        </w:tc>
      </w:tr>
      <w:tr w:rsidR="00F3183D" w14:paraId="2A414932" w14:textId="77777777">
        <w:tc>
          <w:tcPr>
            <w:tcW w:w="1875" w:type="dxa"/>
          </w:tcPr>
          <w:p w14:paraId="2A41492F" w14:textId="77777777" w:rsidR="00F3183D" w:rsidRDefault="00000000">
            <w:pPr>
              <w:pStyle w:val="Compact"/>
            </w:pPr>
            <w:r>
              <w:t>GOAL 17: Partnerships to achieve the Goal</w:t>
            </w:r>
          </w:p>
        </w:tc>
        <w:tc>
          <w:tcPr>
            <w:tcW w:w="2823" w:type="dxa"/>
          </w:tcPr>
          <w:p w14:paraId="2A414930" w14:textId="77777777" w:rsidR="00F3183D" w:rsidRDefault="00000000">
            <w:pPr>
              <w:pStyle w:val="Compact"/>
            </w:pPr>
            <w:r>
              <w:t>SDG Goal 17 data availability. Source: UN Global SDG Indicators Database</w:t>
            </w:r>
          </w:p>
        </w:tc>
        <w:tc>
          <w:tcPr>
            <w:tcW w:w="3221" w:type="dxa"/>
          </w:tcPr>
          <w:p w14:paraId="2A414931" w14:textId="77777777" w:rsidR="00F3183D" w:rsidRDefault="00000000">
            <w:pPr>
              <w:pStyle w:val="Compact"/>
            </w:pPr>
            <w:r>
              <w:t>Fraction of Indicators in Goal 17 with value produced by country’s statistical system within a 5-year window.</w:t>
            </w:r>
          </w:p>
        </w:tc>
      </w:tr>
      <w:tr w:rsidR="00F3183D" w14:paraId="2A414936" w14:textId="77777777">
        <w:tc>
          <w:tcPr>
            <w:tcW w:w="1875" w:type="dxa"/>
          </w:tcPr>
          <w:p w14:paraId="2A414933" w14:textId="77777777" w:rsidR="00F3183D" w:rsidRDefault="00000000">
            <w:pPr>
              <w:pStyle w:val="Compact"/>
            </w:pPr>
            <w:r>
              <w:t xml:space="preserve">Population &amp; Housing census </w:t>
            </w:r>
            <w:r>
              <w:lastRenderedPageBreak/>
              <w:t>(Availability score over 20 years)</w:t>
            </w:r>
          </w:p>
        </w:tc>
        <w:tc>
          <w:tcPr>
            <w:tcW w:w="2823" w:type="dxa"/>
          </w:tcPr>
          <w:p w14:paraId="2A414934" w14:textId="77777777" w:rsidR="00F3183D" w:rsidRDefault="00000000">
            <w:pPr>
              <w:pStyle w:val="Compact"/>
            </w:pPr>
            <w:r>
              <w:lastRenderedPageBreak/>
              <w:t xml:space="preserve">Population censuses collect data on the size, distribution, </w:t>
            </w:r>
            <w:r>
              <w:lastRenderedPageBreak/>
              <w:t>and composition of population and provide sampling frames for household and other surveys.</w:t>
            </w:r>
          </w:p>
        </w:tc>
        <w:tc>
          <w:tcPr>
            <w:tcW w:w="3221" w:type="dxa"/>
          </w:tcPr>
          <w:p w14:paraId="2A414935" w14:textId="77777777" w:rsidR="00F3183D" w:rsidRDefault="00000000">
            <w:pPr>
              <w:pStyle w:val="Compact"/>
            </w:pPr>
            <w:r>
              <w:lastRenderedPageBreak/>
              <w:t xml:space="preserve">1 Point. Population census done within last 10 years. 0.5 Points. </w:t>
            </w:r>
            <w:r>
              <w:lastRenderedPageBreak/>
              <w:t>Population census done within last 20 years. 0 Points. Otherwise.</w:t>
            </w:r>
          </w:p>
        </w:tc>
      </w:tr>
      <w:tr w:rsidR="00F3183D" w14:paraId="2A41493A" w14:textId="77777777">
        <w:tc>
          <w:tcPr>
            <w:tcW w:w="1875" w:type="dxa"/>
          </w:tcPr>
          <w:p w14:paraId="2A414937" w14:textId="77777777" w:rsidR="00F3183D" w:rsidRDefault="00000000">
            <w:pPr>
              <w:pStyle w:val="Compact"/>
            </w:pPr>
            <w:r>
              <w:lastRenderedPageBreak/>
              <w:t>Agriculture census (Availability score over 20 years)</w:t>
            </w:r>
          </w:p>
        </w:tc>
        <w:tc>
          <w:tcPr>
            <w:tcW w:w="2823" w:type="dxa"/>
          </w:tcPr>
          <w:p w14:paraId="2A414938" w14:textId="77777777" w:rsidR="00F3183D" w:rsidRDefault="00000000">
            <w:pPr>
              <w:pStyle w:val="Compact"/>
            </w:pPr>
            <w:r>
              <w:t>Agriculture censuses collect information on agricultural activities such as size of holding, land tenure, land use, employment, and production.</w:t>
            </w:r>
          </w:p>
        </w:tc>
        <w:tc>
          <w:tcPr>
            <w:tcW w:w="3221" w:type="dxa"/>
          </w:tcPr>
          <w:p w14:paraId="2A414939" w14:textId="77777777" w:rsidR="00F3183D" w:rsidRDefault="00000000">
            <w:pPr>
              <w:pStyle w:val="Compact"/>
            </w:pPr>
            <w:r>
              <w:t>1 Point. Census done within last 10 years. 0.5 Points. Census done within last 20 years. 0 Points. Otherwise.</w:t>
            </w:r>
          </w:p>
        </w:tc>
      </w:tr>
      <w:tr w:rsidR="00F3183D" w14:paraId="2A41493E" w14:textId="77777777">
        <w:tc>
          <w:tcPr>
            <w:tcW w:w="1875" w:type="dxa"/>
          </w:tcPr>
          <w:p w14:paraId="2A41493B" w14:textId="77777777" w:rsidR="00F3183D" w:rsidRDefault="00000000">
            <w:pPr>
              <w:pStyle w:val="Compact"/>
            </w:pPr>
            <w:r>
              <w:t>Business/establishment census (Availability score over 20 years)</w:t>
            </w:r>
          </w:p>
        </w:tc>
        <w:tc>
          <w:tcPr>
            <w:tcW w:w="2823" w:type="dxa"/>
          </w:tcPr>
          <w:p w14:paraId="2A41493C" w14:textId="77777777" w:rsidR="00F3183D" w:rsidRDefault="00000000">
            <w:pPr>
              <w:pStyle w:val="Compact"/>
            </w:pPr>
            <w:r>
              <w:t>Business/establishment censuses provide valuable information on all economic activities, number of employed, and size of establishments.</w:t>
            </w:r>
          </w:p>
        </w:tc>
        <w:tc>
          <w:tcPr>
            <w:tcW w:w="3221" w:type="dxa"/>
          </w:tcPr>
          <w:p w14:paraId="2A41493D" w14:textId="77777777" w:rsidR="00F3183D" w:rsidRDefault="00000000">
            <w:pPr>
              <w:pStyle w:val="Compact"/>
            </w:pPr>
            <w:r>
              <w:t>1 Point. Census done within last 10 years. 0.5 Points. Census done within last 20 years. 0 Points. Otherwise.</w:t>
            </w:r>
          </w:p>
        </w:tc>
      </w:tr>
      <w:tr w:rsidR="00F3183D" w14:paraId="2A414942" w14:textId="77777777">
        <w:tc>
          <w:tcPr>
            <w:tcW w:w="1875" w:type="dxa"/>
          </w:tcPr>
          <w:p w14:paraId="2A41493F" w14:textId="77777777" w:rsidR="00F3183D" w:rsidRDefault="00000000">
            <w:pPr>
              <w:pStyle w:val="Compact"/>
            </w:pPr>
            <w:r>
              <w:t>Household Survey on income etc. (Availability score over 10 years)</w:t>
            </w:r>
          </w:p>
        </w:tc>
        <w:tc>
          <w:tcPr>
            <w:tcW w:w="2823" w:type="dxa"/>
          </w:tcPr>
          <w:p w14:paraId="2A414940" w14:textId="77777777" w:rsidR="00F3183D" w:rsidRDefault="00000000">
            <w:pPr>
              <w:pStyle w:val="Compact"/>
            </w:pPr>
            <w:r>
              <w:t>These surveys collect data on household income (including income in kind), consumption, and expenditure. It is recommended that surveys be conducted at least every 3 to 5 years.</w:t>
            </w:r>
          </w:p>
        </w:tc>
        <w:tc>
          <w:tcPr>
            <w:tcW w:w="3221" w:type="dxa"/>
          </w:tcPr>
          <w:p w14:paraId="2A414941" w14:textId="77777777" w:rsidR="00F3183D" w:rsidRDefault="00000000">
            <w:pPr>
              <w:pStyle w:val="Compact"/>
            </w:pPr>
            <w:r>
              <w:t>1 Point. 3 or more surveys done within past 10 years. 0.67 Points. 2 surveys done within past 10 years. 0.33 Points. 1 survey done within past 10 years. 0 Points. None within past 10 years.</w:t>
            </w:r>
          </w:p>
        </w:tc>
      </w:tr>
      <w:tr w:rsidR="00F3183D" w14:paraId="2A414946" w14:textId="77777777">
        <w:tc>
          <w:tcPr>
            <w:tcW w:w="1875" w:type="dxa"/>
          </w:tcPr>
          <w:p w14:paraId="2A414943" w14:textId="77777777" w:rsidR="00F3183D" w:rsidRDefault="00000000">
            <w:pPr>
              <w:pStyle w:val="Compact"/>
            </w:pPr>
            <w:r>
              <w:t>Agriculture survey (Availability score over 10 years)</w:t>
            </w:r>
          </w:p>
        </w:tc>
        <w:tc>
          <w:tcPr>
            <w:tcW w:w="2823" w:type="dxa"/>
          </w:tcPr>
          <w:p w14:paraId="2A414944" w14:textId="77777777" w:rsidR="00F3183D" w:rsidRDefault="00000000">
            <w:pPr>
              <w:pStyle w:val="Compact"/>
            </w:pPr>
            <w:r>
              <w:t>Agricultural surveys refer to surveys of agricultural holdings based on the sampling frames established by the agricultural census.</w:t>
            </w:r>
          </w:p>
        </w:tc>
        <w:tc>
          <w:tcPr>
            <w:tcW w:w="3221" w:type="dxa"/>
          </w:tcPr>
          <w:p w14:paraId="2A414945" w14:textId="77777777" w:rsidR="00F3183D" w:rsidRDefault="00000000">
            <w:pPr>
              <w:pStyle w:val="Compact"/>
            </w:pPr>
            <w:r>
              <w:t>1 Point. 3 or more surveys done within past 10 years. 0.67 Points. 2 surveys done within past 10 years. 0.33 Points. 1 survey done within past 10 years. 0 Points. None within past 10 years.</w:t>
            </w:r>
          </w:p>
        </w:tc>
      </w:tr>
      <w:tr w:rsidR="00F3183D" w14:paraId="2A41494A" w14:textId="77777777">
        <w:tc>
          <w:tcPr>
            <w:tcW w:w="1875" w:type="dxa"/>
          </w:tcPr>
          <w:p w14:paraId="2A414947" w14:textId="77777777" w:rsidR="00F3183D" w:rsidRDefault="00000000">
            <w:pPr>
              <w:pStyle w:val="Compact"/>
            </w:pPr>
            <w:r>
              <w:t>Labor Force Survey (Availability score over 10 years)</w:t>
            </w:r>
          </w:p>
        </w:tc>
        <w:tc>
          <w:tcPr>
            <w:tcW w:w="2823" w:type="dxa"/>
          </w:tcPr>
          <w:p w14:paraId="2A414948" w14:textId="77777777" w:rsidR="00F3183D" w:rsidRDefault="00000000">
            <w:pPr>
              <w:pStyle w:val="Compact"/>
            </w:pPr>
            <w:r>
              <w:t xml:space="preserve">Labor force survey is a standard household-based survey of work-related statistics at the national and </w:t>
            </w:r>
            <w:r>
              <w:lastRenderedPageBreak/>
              <w:t>sub-national level.</w:t>
            </w:r>
          </w:p>
        </w:tc>
        <w:tc>
          <w:tcPr>
            <w:tcW w:w="3221" w:type="dxa"/>
          </w:tcPr>
          <w:p w14:paraId="2A414949" w14:textId="77777777" w:rsidR="00F3183D" w:rsidRDefault="00000000">
            <w:pPr>
              <w:pStyle w:val="Compact"/>
            </w:pPr>
            <w:r>
              <w:lastRenderedPageBreak/>
              <w:t xml:space="preserve">1 Point. 3 or more surveys done within past 10 years. 0.67 Points. 2 surveys done within past 10 years. 0.33 Points. 1 survey done within </w:t>
            </w:r>
            <w:r>
              <w:lastRenderedPageBreak/>
              <w:t>past 10 years. 0 Points. None within past 10 years.</w:t>
            </w:r>
          </w:p>
        </w:tc>
      </w:tr>
      <w:tr w:rsidR="00F3183D" w14:paraId="2A41494E" w14:textId="77777777">
        <w:tc>
          <w:tcPr>
            <w:tcW w:w="1875" w:type="dxa"/>
          </w:tcPr>
          <w:p w14:paraId="2A41494B" w14:textId="77777777" w:rsidR="00F3183D" w:rsidRDefault="00000000">
            <w:pPr>
              <w:pStyle w:val="Compact"/>
            </w:pPr>
            <w:r>
              <w:lastRenderedPageBreak/>
              <w:t>Health/Demographic survey (Availability score over 10 years)</w:t>
            </w:r>
          </w:p>
        </w:tc>
        <w:tc>
          <w:tcPr>
            <w:tcW w:w="2823" w:type="dxa"/>
          </w:tcPr>
          <w:p w14:paraId="2A41494C" w14:textId="77777777" w:rsidR="00F3183D" w:rsidRDefault="00000000">
            <w:pPr>
              <w:pStyle w:val="Compact"/>
            </w:pPr>
            <w:r>
              <w:t>Health surveys collect information on various aspects of health of populations. It is recommended that health surveys be conducted at least every 3 to 5 years.</w:t>
            </w:r>
          </w:p>
        </w:tc>
        <w:tc>
          <w:tcPr>
            <w:tcW w:w="3221" w:type="dxa"/>
          </w:tcPr>
          <w:p w14:paraId="2A41494D" w14:textId="77777777" w:rsidR="00F3183D" w:rsidRDefault="00000000">
            <w:pPr>
              <w:pStyle w:val="Compact"/>
            </w:pPr>
            <w:r>
              <w:t>1 Point. 3 or more surveys done within past 10 years. 0.67 Points. 2 surveys done within past 10 years. 0.33 Points. 1 survey done within past 10 years. 0 Points. None within past 10 years.</w:t>
            </w:r>
          </w:p>
        </w:tc>
      </w:tr>
      <w:tr w:rsidR="00F3183D" w14:paraId="2A414952" w14:textId="77777777">
        <w:tc>
          <w:tcPr>
            <w:tcW w:w="1875" w:type="dxa"/>
          </w:tcPr>
          <w:p w14:paraId="2A41494F" w14:textId="77777777" w:rsidR="00F3183D" w:rsidRDefault="00000000">
            <w:pPr>
              <w:pStyle w:val="Compact"/>
            </w:pPr>
            <w:r>
              <w:t>Business/establishment survey (Availability score over 10 years)</w:t>
            </w:r>
          </w:p>
        </w:tc>
        <w:tc>
          <w:tcPr>
            <w:tcW w:w="2823" w:type="dxa"/>
          </w:tcPr>
          <w:p w14:paraId="2A414950" w14:textId="77777777" w:rsidR="00F3183D" w:rsidRDefault="00000000">
            <w:pPr>
              <w:pStyle w:val="Compact"/>
            </w:pPr>
            <w:r>
              <w:t>The business/establishment survey provides information on employment, hours, and earnings of employees from a sample of business establishments.</w:t>
            </w:r>
          </w:p>
        </w:tc>
        <w:tc>
          <w:tcPr>
            <w:tcW w:w="3221" w:type="dxa"/>
          </w:tcPr>
          <w:p w14:paraId="2A414951" w14:textId="77777777" w:rsidR="00F3183D" w:rsidRDefault="00000000">
            <w:pPr>
              <w:pStyle w:val="Compact"/>
            </w:pPr>
            <w:r>
              <w:t>1 Point. 3 or more surveys done within past 10 years. 0.67 Points. 2 surveys done within past 10 years. 0.33 Points. 1 survey done within past 10 years. 0 Points. None within past 10 years.</w:t>
            </w:r>
          </w:p>
        </w:tc>
      </w:tr>
      <w:tr w:rsidR="00F3183D" w14:paraId="2A414956" w14:textId="77777777">
        <w:tc>
          <w:tcPr>
            <w:tcW w:w="1875" w:type="dxa"/>
          </w:tcPr>
          <w:p w14:paraId="2A414953" w14:textId="77777777" w:rsidR="00F3183D" w:rsidRDefault="00000000">
            <w:pPr>
              <w:pStyle w:val="Compact"/>
            </w:pPr>
            <w:r>
              <w:t>Social Protection Admin (ASPIRE)</w:t>
            </w:r>
          </w:p>
        </w:tc>
        <w:tc>
          <w:tcPr>
            <w:tcW w:w="2823" w:type="dxa"/>
          </w:tcPr>
          <w:p w14:paraId="2A414954" w14:textId="77777777" w:rsidR="00F3183D" w:rsidRDefault="00000000">
            <w:pPr>
              <w:pStyle w:val="Compact"/>
            </w:pPr>
            <w:r>
              <w:t>Administrative data available on social protection programs from ASPIRE (World Bank) databases</w:t>
            </w:r>
          </w:p>
        </w:tc>
        <w:tc>
          <w:tcPr>
            <w:tcW w:w="3221" w:type="dxa"/>
          </w:tcPr>
          <w:p w14:paraId="2A414955" w14:textId="77777777" w:rsidR="00F3183D" w:rsidRDefault="00000000">
            <w:pPr>
              <w:pStyle w:val="Compact"/>
            </w:pPr>
            <w:r>
              <w:t>Scoring is 1 if administrative data is available to produce beneficiary counts or expenditures for any social protection and labor program. 0 otherwise.</w:t>
            </w:r>
          </w:p>
        </w:tc>
      </w:tr>
      <w:tr w:rsidR="00F3183D" w14:paraId="2A41495A" w14:textId="77777777">
        <w:tc>
          <w:tcPr>
            <w:tcW w:w="1875" w:type="dxa"/>
          </w:tcPr>
          <w:p w14:paraId="2A414957" w14:textId="77777777" w:rsidR="00F3183D" w:rsidRDefault="00000000">
            <w:pPr>
              <w:pStyle w:val="Compact"/>
            </w:pPr>
            <w:r>
              <w:t>Civil Registration and Vital Statistics (CRVS) system</w:t>
            </w:r>
          </w:p>
        </w:tc>
        <w:tc>
          <w:tcPr>
            <w:tcW w:w="2823" w:type="dxa"/>
          </w:tcPr>
          <w:p w14:paraId="2A414958" w14:textId="77777777" w:rsidR="00F3183D" w:rsidRDefault="00000000">
            <w:pPr>
              <w:pStyle w:val="Compact"/>
            </w:pPr>
            <w:r>
              <w:t>Birth registrations 90% complete and death registration 75% complete according to UNSD.</w:t>
            </w:r>
          </w:p>
        </w:tc>
        <w:tc>
          <w:tcPr>
            <w:tcW w:w="3221" w:type="dxa"/>
          </w:tcPr>
          <w:p w14:paraId="2A414959" w14:textId="77777777" w:rsidR="00F3183D" w:rsidRDefault="00000000">
            <w:pPr>
              <w:pStyle w:val="Compact"/>
            </w:pPr>
            <w:r>
              <w:t>Score is 1 if both complete. 0.5 if one of two is complete. 0 if neither complete.</w:t>
            </w:r>
          </w:p>
        </w:tc>
      </w:tr>
      <w:tr w:rsidR="00F3183D" w14:paraId="2A41495E" w14:textId="77777777">
        <w:tc>
          <w:tcPr>
            <w:tcW w:w="1875" w:type="dxa"/>
          </w:tcPr>
          <w:p w14:paraId="2A41495B" w14:textId="77777777" w:rsidR="00F3183D" w:rsidRDefault="00000000">
            <w:pPr>
              <w:pStyle w:val="Compact"/>
            </w:pPr>
            <w:r>
              <w:t>Geospatial data available at 1st Admin Level</w:t>
            </w:r>
          </w:p>
        </w:tc>
        <w:tc>
          <w:tcPr>
            <w:tcW w:w="2823" w:type="dxa"/>
          </w:tcPr>
          <w:p w14:paraId="2A41495C" w14:textId="77777777" w:rsidR="00F3183D" w:rsidRDefault="00000000">
            <w:pPr>
              <w:pStyle w:val="Compact"/>
            </w:pPr>
            <w:r>
              <w:t>Indicator data availability at sub-national levels</w:t>
            </w:r>
          </w:p>
        </w:tc>
        <w:tc>
          <w:tcPr>
            <w:tcW w:w="3221" w:type="dxa"/>
          </w:tcPr>
          <w:p w14:paraId="2A41495D" w14:textId="77777777" w:rsidR="00F3183D" w:rsidRDefault="00000000">
            <w:pPr>
              <w:pStyle w:val="Compact"/>
            </w:pPr>
            <w:r>
              <w:t>Our source for this indicator is Open Data Watch. Indicator is whether data is available at the first administrative level. Scores range from 0-100.</w:t>
            </w:r>
          </w:p>
        </w:tc>
      </w:tr>
      <w:tr w:rsidR="00F3183D" w14:paraId="2A414962" w14:textId="77777777">
        <w:tc>
          <w:tcPr>
            <w:tcW w:w="1875" w:type="dxa"/>
          </w:tcPr>
          <w:p w14:paraId="2A41495F" w14:textId="77777777" w:rsidR="00F3183D" w:rsidRDefault="00000000">
            <w:pPr>
              <w:pStyle w:val="Compact"/>
            </w:pPr>
            <w:r>
              <w:t>Legislation Indicator based on PARIS21 indicators on SDG 17.18.2</w:t>
            </w:r>
          </w:p>
        </w:tc>
        <w:tc>
          <w:tcPr>
            <w:tcW w:w="2823" w:type="dxa"/>
          </w:tcPr>
          <w:p w14:paraId="2A414960" w14:textId="77777777" w:rsidR="00F3183D" w:rsidRDefault="00000000">
            <w:pPr>
              <w:pStyle w:val="Compact"/>
            </w:pPr>
            <w:r>
              <w:t xml:space="preserve">Existence of National Statistical Council, national statistical strategy, and plan. Also includes legislative aspects such as freedom of </w:t>
            </w:r>
            <w:r>
              <w:lastRenderedPageBreak/>
              <w:t>information, privacy, and good governance.</w:t>
            </w:r>
          </w:p>
        </w:tc>
        <w:tc>
          <w:tcPr>
            <w:tcW w:w="3221" w:type="dxa"/>
          </w:tcPr>
          <w:p w14:paraId="2A414961" w14:textId="77777777" w:rsidR="00F3183D" w:rsidRDefault="00000000">
            <w:pPr>
              <w:pStyle w:val="Compact"/>
            </w:pPr>
            <w:r>
              <w:lastRenderedPageBreak/>
              <w:t>Score is 1 if the country has a national statistical legislation compliant with UN Fundamental Principles of Statistics. 0 otherwise.</w:t>
            </w:r>
          </w:p>
        </w:tc>
      </w:tr>
      <w:tr w:rsidR="00F3183D" w14:paraId="2A414966" w14:textId="77777777">
        <w:tc>
          <w:tcPr>
            <w:tcW w:w="1875" w:type="dxa"/>
          </w:tcPr>
          <w:p w14:paraId="2A414963" w14:textId="77777777" w:rsidR="00F3183D" w:rsidRDefault="00000000">
            <w:pPr>
              <w:pStyle w:val="Compact"/>
            </w:pPr>
            <w:r>
              <w:t>System of national accounts in use</w:t>
            </w:r>
          </w:p>
        </w:tc>
        <w:tc>
          <w:tcPr>
            <w:tcW w:w="2823" w:type="dxa"/>
          </w:tcPr>
          <w:p w14:paraId="2A414964" w14:textId="77777777" w:rsidR="00F3183D" w:rsidRDefault="00000000">
            <w:pPr>
              <w:pStyle w:val="Compact"/>
            </w:pPr>
            <w:r>
              <w:t>The national accounts data are compiled using the System of National Account 2008 (SNA2008) or European System of National and Regional Accounts (ESA 2010).</w:t>
            </w:r>
          </w:p>
        </w:tc>
        <w:tc>
          <w:tcPr>
            <w:tcW w:w="3221" w:type="dxa"/>
          </w:tcPr>
          <w:p w14:paraId="2A414965" w14:textId="77777777" w:rsidR="00F3183D" w:rsidRDefault="00000000">
            <w:pPr>
              <w:pStyle w:val="Compact"/>
            </w:pPr>
            <w:r>
              <w:t>1 point for using SNA2008 or ESA 2010. 0.5 points for using SNA 1993 or ESA 1995. 0 points otherwise.</w:t>
            </w:r>
          </w:p>
        </w:tc>
      </w:tr>
      <w:tr w:rsidR="00F3183D" w14:paraId="2A41496A" w14:textId="77777777">
        <w:tc>
          <w:tcPr>
            <w:tcW w:w="1875" w:type="dxa"/>
          </w:tcPr>
          <w:p w14:paraId="2A414967" w14:textId="77777777" w:rsidR="00F3183D" w:rsidRDefault="00000000">
            <w:pPr>
              <w:pStyle w:val="Compact"/>
            </w:pPr>
            <w:r>
              <w:t>National Accounts base year</w:t>
            </w:r>
          </w:p>
        </w:tc>
        <w:tc>
          <w:tcPr>
            <w:tcW w:w="2823" w:type="dxa"/>
          </w:tcPr>
          <w:p w14:paraId="2A414968" w14:textId="77777777" w:rsidR="00F3183D" w:rsidRDefault="00000000">
            <w:pPr>
              <w:pStyle w:val="Compact"/>
            </w:pPr>
            <w:r>
              <w:t>National accounts base year is the year used for constant price calculations.</w:t>
            </w:r>
          </w:p>
        </w:tc>
        <w:tc>
          <w:tcPr>
            <w:tcW w:w="3221" w:type="dxa"/>
          </w:tcPr>
          <w:p w14:paraId="2A414969" w14:textId="77777777" w:rsidR="00F3183D" w:rsidRDefault="00000000">
            <w:pPr>
              <w:pStyle w:val="Compact"/>
            </w:pPr>
            <w:r>
              <w:t>1 point for chained price. 0.5 for reference period within past 10 years. 0 points otherwise.</w:t>
            </w:r>
          </w:p>
        </w:tc>
      </w:tr>
      <w:tr w:rsidR="00F3183D" w14:paraId="2A41496E" w14:textId="77777777">
        <w:tc>
          <w:tcPr>
            <w:tcW w:w="1875" w:type="dxa"/>
          </w:tcPr>
          <w:p w14:paraId="2A41496B" w14:textId="77777777" w:rsidR="00F3183D" w:rsidRDefault="00000000">
            <w:pPr>
              <w:pStyle w:val="Compact"/>
            </w:pPr>
            <w:r>
              <w:t>Classification of national industry</w:t>
            </w:r>
          </w:p>
        </w:tc>
        <w:tc>
          <w:tcPr>
            <w:tcW w:w="2823" w:type="dxa"/>
          </w:tcPr>
          <w:p w14:paraId="2A41496C" w14:textId="77777777" w:rsidR="00F3183D" w:rsidRDefault="00000000">
            <w:pPr>
              <w:pStyle w:val="Compact"/>
            </w:pPr>
            <w:r>
              <w:t>The industrial production data are compiled using International Standard Industrial Classification (ISIC) Rev.4 or Statistical Classification of Economic Activities in the European Community (NACE) Rev.2.</w:t>
            </w:r>
          </w:p>
        </w:tc>
        <w:tc>
          <w:tcPr>
            <w:tcW w:w="3221" w:type="dxa"/>
          </w:tcPr>
          <w:p w14:paraId="2A41496D" w14:textId="77777777" w:rsidR="00F3183D" w:rsidRDefault="00000000">
            <w:pPr>
              <w:pStyle w:val="Compact"/>
            </w:pPr>
            <w:r>
              <w:t>1 Point. Latest version adopted. 0.5 Points. Previous version. 0 Points otherwise.</w:t>
            </w:r>
          </w:p>
        </w:tc>
      </w:tr>
      <w:tr w:rsidR="00F3183D" w14:paraId="2A414972" w14:textId="77777777">
        <w:tc>
          <w:tcPr>
            <w:tcW w:w="1875" w:type="dxa"/>
          </w:tcPr>
          <w:p w14:paraId="2A41496F" w14:textId="77777777" w:rsidR="00F3183D" w:rsidRDefault="00000000">
            <w:pPr>
              <w:pStyle w:val="Compact"/>
            </w:pPr>
            <w:r>
              <w:t>CPI base year</w:t>
            </w:r>
          </w:p>
        </w:tc>
        <w:tc>
          <w:tcPr>
            <w:tcW w:w="2823" w:type="dxa"/>
          </w:tcPr>
          <w:p w14:paraId="2A414970" w14:textId="77777777" w:rsidR="00F3183D" w:rsidRDefault="00000000">
            <w:pPr>
              <w:pStyle w:val="Compact"/>
            </w:pPr>
            <w:r>
              <w:t>Consumer Price Index reflects changes in the cost of acquiring a fixed basket of goods and services by the average consumer.</w:t>
            </w:r>
          </w:p>
        </w:tc>
        <w:tc>
          <w:tcPr>
            <w:tcW w:w="3221" w:type="dxa"/>
          </w:tcPr>
          <w:p w14:paraId="2A414971" w14:textId="77777777" w:rsidR="00F3183D" w:rsidRDefault="00000000">
            <w:pPr>
              <w:pStyle w:val="Compact"/>
            </w:pPr>
            <w:r>
              <w:t>1 Point. Annual chain linking. 0.5 Points. Base year in last 10 years. 0 Points otherwise.</w:t>
            </w:r>
          </w:p>
        </w:tc>
      </w:tr>
      <w:tr w:rsidR="00F3183D" w14:paraId="2A414976" w14:textId="77777777">
        <w:tc>
          <w:tcPr>
            <w:tcW w:w="1875" w:type="dxa"/>
          </w:tcPr>
          <w:p w14:paraId="2A414973" w14:textId="77777777" w:rsidR="00F3183D" w:rsidRDefault="00000000">
            <w:pPr>
              <w:pStyle w:val="Compact"/>
            </w:pPr>
            <w:r>
              <w:t>Classification of household consumption</w:t>
            </w:r>
          </w:p>
        </w:tc>
        <w:tc>
          <w:tcPr>
            <w:tcW w:w="2823" w:type="dxa"/>
          </w:tcPr>
          <w:p w14:paraId="2A414974" w14:textId="77777777" w:rsidR="00F3183D" w:rsidRDefault="00000000">
            <w:pPr>
              <w:pStyle w:val="Compact"/>
            </w:pPr>
            <w:r>
              <w:t>Classification of Individual Consumption According to Purpose (COICOP) used in household budget surveys and international GDP comparisons.</w:t>
            </w:r>
          </w:p>
        </w:tc>
        <w:tc>
          <w:tcPr>
            <w:tcW w:w="3221" w:type="dxa"/>
          </w:tcPr>
          <w:p w14:paraId="2A414975" w14:textId="77777777" w:rsidR="00F3183D" w:rsidRDefault="00000000">
            <w:pPr>
              <w:pStyle w:val="Compact"/>
            </w:pPr>
            <w:r>
              <w:t>1 Point. Follow COICOP. 0 Points otherwise.</w:t>
            </w:r>
          </w:p>
        </w:tc>
      </w:tr>
      <w:tr w:rsidR="00F3183D" w14:paraId="2A41497A" w14:textId="77777777">
        <w:tc>
          <w:tcPr>
            <w:tcW w:w="1875" w:type="dxa"/>
          </w:tcPr>
          <w:p w14:paraId="2A414977" w14:textId="77777777" w:rsidR="00F3183D" w:rsidRDefault="00000000">
            <w:pPr>
              <w:pStyle w:val="Compact"/>
            </w:pPr>
            <w:r>
              <w:t>Classification of status of employment</w:t>
            </w:r>
          </w:p>
        </w:tc>
        <w:tc>
          <w:tcPr>
            <w:tcW w:w="2823" w:type="dxa"/>
          </w:tcPr>
          <w:p w14:paraId="2A414978" w14:textId="77777777" w:rsidR="00F3183D" w:rsidRDefault="00000000">
            <w:pPr>
              <w:pStyle w:val="Compact"/>
            </w:pPr>
            <w:r>
              <w:t xml:space="preserve">Classification of status of employment data using the International Classification of </w:t>
            </w:r>
            <w:r>
              <w:lastRenderedPageBreak/>
              <w:t>Status in Employment (ISCE-93).</w:t>
            </w:r>
          </w:p>
        </w:tc>
        <w:tc>
          <w:tcPr>
            <w:tcW w:w="3221" w:type="dxa"/>
          </w:tcPr>
          <w:p w14:paraId="2A414979" w14:textId="77777777" w:rsidR="00F3183D" w:rsidRDefault="00000000">
            <w:pPr>
              <w:pStyle w:val="Compact"/>
            </w:pPr>
            <w:r>
              <w:lastRenderedPageBreak/>
              <w:t xml:space="preserve">1 Point. Follow ISCE-93 or 2012 North American Industry Classification System (NAICS). 0 </w:t>
            </w:r>
            <w:r>
              <w:lastRenderedPageBreak/>
              <w:t>Points otherwise.</w:t>
            </w:r>
          </w:p>
        </w:tc>
      </w:tr>
      <w:tr w:rsidR="00F3183D" w14:paraId="2A41497E" w14:textId="77777777">
        <w:tc>
          <w:tcPr>
            <w:tcW w:w="1875" w:type="dxa"/>
          </w:tcPr>
          <w:p w14:paraId="2A41497B" w14:textId="77777777" w:rsidR="00F3183D" w:rsidRDefault="00000000">
            <w:pPr>
              <w:pStyle w:val="Compact"/>
            </w:pPr>
            <w:r>
              <w:lastRenderedPageBreak/>
              <w:t>Central government accounting status</w:t>
            </w:r>
          </w:p>
        </w:tc>
        <w:tc>
          <w:tcPr>
            <w:tcW w:w="2823" w:type="dxa"/>
          </w:tcPr>
          <w:p w14:paraId="2A41497C" w14:textId="77777777" w:rsidR="00F3183D" w:rsidRDefault="00000000">
            <w:pPr>
              <w:pStyle w:val="Compact"/>
            </w:pPr>
            <w:r>
              <w:t>Government finance accounting status follows noncash recording basis.</w:t>
            </w:r>
          </w:p>
        </w:tc>
        <w:tc>
          <w:tcPr>
            <w:tcW w:w="3221" w:type="dxa"/>
          </w:tcPr>
          <w:p w14:paraId="2A41497D" w14:textId="77777777" w:rsidR="00F3183D" w:rsidRDefault="00000000">
            <w:pPr>
              <w:pStyle w:val="Compact"/>
            </w:pPr>
            <w:r>
              <w:t>1 Point. Follows noncash recording basis. 0.5 Points. Follows cash recording basis. 0 Points otherwise.</w:t>
            </w:r>
          </w:p>
        </w:tc>
      </w:tr>
      <w:tr w:rsidR="00F3183D" w14:paraId="2A414982" w14:textId="77777777">
        <w:tc>
          <w:tcPr>
            <w:tcW w:w="1875" w:type="dxa"/>
          </w:tcPr>
          <w:p w14:paraId="2A41497F" w14:textId="77777777" w:rsidR="00F3183D" w:rsidRDefault="00000000">
            <w:pPr>
              <w:pStyle w:val="Compact"/>
            </w:pPr>
            <w:r>
              <w:t>Compilation of government finance statistics</w:t>
            </w:r>
          </w:p>
        </w:tc>
        <w:tc>
          <w:tcPr>
            <w:tcW w:w="2823" w:type="dxa"/>
          </w:tcPr>
          <w:p w14:paraId="2A414980" w14:textId="77777777" w:rsidR="00F3183D" w:rsidRDefault="00000000">
            <w:pPr>
              <w:pStyle w:val="Compact"/>
            </w:pPr>
            <w:r>
              <w:t>Compilation of government finance statistics follows the Government Finance Statistics Manual (GFSM).</w:t>
            </w:r>
          </w:p>
        </w:tc>
        <w:tc>
          <w:tcPr>
            <w:tcW w:w="3221" w:type="dxa"/>
          </w:tcPr>
          <w:p w14:paraId="2A414981" w14:textId="77777777" w:rsidR="00F3183D" w:rsidRDefault="00000000">
            <w:pPr>
              <w:pStyle w:val="Compact"/>
            </w:pPr>
            <w:r>
              <w:t>1 Point. Follows GFSM 2014. 0.5 Points. Follows GFSM 2001. 0 Points otherwise.</w:t>
            </w:r>
          </w:p>
        </w:tc>
      </w:tr>
      <w:tr w:rsidR="00F3183D" w14:paraId="2A414986" w14:textId="77777777">
        <w:tc>
          <w:tcPr>
            <w:tcW w:w="1875" w:type="dxa"/>
          </w:tcPr>
          <w:p w14:paraId="2A414983" w14:textId="77777777" w:rsidR="00F3183D" w:rsidRDefault="00000000">
            <w:pPr>
              <w:pStyle w:val="Compact"/>
            </w:pPr>
            <w:r>
              <w:t>Compilation of monetary and financial statistics</w:t>
            </w:r>
          </w:p>
        </w:tc>
        <w:tc>
          <w:tcPr>
            <w:tcW w:w="2823" w:type="dxa"/>
          </w:tcPr>
          <w:p w14:paraId="2A414984" w14:textId="77777777" w:rsidR="00F3183D" w:rsidRDefault="00000000">
            <w:pPr>
              <w:pStyle w:val="Compact"/>
            </w:pPr>
            <w:r>
              <w:t>Compilation of monetary and financial statistics follows the Monetary and Financial Statistics Manual (MFSM).</w:t>
            </w:r>
          </w:p>
        </w:tc>
        <w:tc>
          <w:tcPr>
            <w:tcW w:w="3221" w:type="dxa"/>
          </w:tcPr>
          <w:p w14:paraId="2A414985" w14:textId="77777777" w:rsidR="00F3183D" w:rsidRDefault="00000000">
            <w:pPr>
              <w:pStyle w:val="Compact"/>
            </w:pPr>
            <w:r>
              <w:t>1 Point. Follows MFSM 2000 or the Compilation Guide (2008/2016). 0 Points otherwise.</w:t>
            </w:r>
          </w:p>
        </w:tc>
      </w:tr>
      <w:tr w:rsidR="00F3183D" w14:paraId="2A41498A" w14:textId="77777777">
        <w:tc>
          <w:tcPr>
            <w:tcW w:w="1875" w:type="dxa"/>
          </w:tcPr>
          <w:p w14:paraId="2A414987" w14:textId="77777777" w:rsidR="00F3183D" w:rsidRDefault="00000000">
            <w:pPr>
              <w:pStyle w:val="Compact"/>
            </w:pPr>
            <w:r>
              <w:t>Business process</w:t>
            </w:r>
          </w:p>
        </w:tc>
        <w:tc>
          <w:tcPr>
            <w:tcW w:w="2823" w:type="dxa"/>
          </w:tcPr>
          <w:p w14:paraId="2A414988" w14:textId="77777777" w:rsidR="00F3183D" w:rsidRDefault="00000000">
            <w:pPr>
              <w:pStyle w:val="Compact"/>
            </w:pPr>
            <w:r>
              <w:t>The Generic Statistical Business Process Model (GSBPM) describes statistics production in a general and process-oriented way.</w:t>
            </w:r>
          </w:p>
        </w:tc>
        <w:tc>
          <w:tcPr>
            <w:tcW w:w="3221" w:type="dxa"/>
          </w:tcPr>
          <w:p w14:paraId="2A414989" w14:textId="77777777" w:rsidR="00F3183D" w:rsidRDefault="00000000">
            <w:pPr>
              <w:pStyle w:val="Compact"/>
            </w:pPr>
            <w:r>
              <w:t>1 Point. GSBPM is in use. 0 Points otherwise.</w:t>
            </w:r>
          </w:p>
        </w:tc>
      </w:tr>
      <w:tr w:rsidR="00F3183D" w14:paraId="2A41498E" w14:textId="77777777">
        <w:tc>
          <w:tcPr>
            <w:tcW w:w="1875" w:type="dxa"/>
          </w:tcPr>
          <w:p w14:paraId="2A41498B" w14:textId="77777777" w:rsidR="00F3183D" w:rsidRDefault="00000000">
            <w:pPr>
              <w:pStyle w:val="Compact"/>
            </w:pPr>
            <w:r>
              <w:t>Finance Indicator based on PARIS21 indicators on SDG 17.18.3 &amp; SDG 17.19.1</w:t>
            </w:r>
          </w:p>
        </w:tc>
        <w:tc>
          <w:tcPr>
            <w:tcW w:w="2823" w:type="dxa"/>
          </w:tcPr>
          <w:p w14:paraId="2A41498C" w14:textId="77777777" w:rsidR="00F3183D" w:rsidRDefault="00000000">
            <w:pPr>
              <w:pStyle w:val="Compact"/>
            </w:pPr>
            <w:r>
              <w:t>Indicator based on PARIS21 SDG indicators (national statistical plan that is fully funded and under implementation).</w:t>
            </w:r>
          </w:p>
        </w:tc>
        <w:tc>
          <w:tcPr>
            <w:tcW w:w="3221" w:type="dxa"/>
          </w:tcPr>
          <w:p w14:paraId="2A41498D" w14:textId="77777777" w:rsidR="00F3183D" w:rsidRDefault="00000000">
            <w:pPr>
              <w:pStyle w:val="Compact"/>
            </w:pPr>
            <w:r>
              <w:t>Score is 1 if the country has a national statistical plan that is fully funded and under implementation. 0 otherwise.</w:t>
            </w:r>
          </w:p>
        </w:tc>
      </w:tr>
      <w:bookmarkEnd w:id="17"/>
    </w:tbl>
    <w:p w14:paraId="2A41498F" w14:textId="77777777" w:rsidR="00D725DC" w:rsidRDefault="00D725DC"/>
    <w:sectPr w:rsidR="00D725DC">
      <w:footerReference w:type="even" r:id="rId31"/>
      <w:footerReference w:type="default" r:id="rId32"/>
      <w:footerReference w:type="first" r:id="rId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F603A" w14:textId="77777777" w:rsidR="00D725DC" w:rsidRDefault="00D725DC">
      <w:pPr>
        <w:spacing w:after="0" w:line="240" w:lineRule="auto"/>
      </w:pPr>
      <w:r>
        <w:separator/>
      </w:r>
    </w:p>
  </w:endnote>
  <w:endnote w:type="continuationSeparator" w:id="0">
    <w:p w14:paraId="625CA2D7" w14:textId="77777777" w:rsidR="00D725DC" w:rsidRDefault="00D72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A1D5D" w14:textId="77777777" w:rsidR="00E66AE9" w:rsidRDefault="00E66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D0E1" w14:textId="77777777" w:rsidR="00E66AE9" w:rsidRDefault="00E66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2D39" w14:textId="77777777" w:rsidR="00E66AE9" w:rsidRDefault="00E66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B0AA1" w14:textId="77777777" w:rsidR="00D725DC" w:rsidRDefault="00D725DC">
      <w:pPr>
        <w:spacing w:after="0" w:line="240" w:lineRule="auto"/>
      </w:pPr>
      <w:r>
        <w:separator/>
      </w:r>
    </w:p>
  </w:footnote>
  <w:footnote w:type="continuationSeparator" w:id="0">
    <w:p w14:paraId="23C32CF7" w14:textId="77777777" w:rsidR="00D725DC" w:rsidRDefault="00D72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DC32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9061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6AE012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E62E42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99222D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4FAEA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A5A66B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222D6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B44A9F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134BF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488C5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85E7A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70CD2DE"/>
    <w:multiLevelType w:val="multilevel"/>
    <w:tmpl w:val="BF942FB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130515094">
    <w:abstractNumId w:val="13"/>
  </w:num>
  <w:num w:numId="2" w16cid:durableId="871529931">
    <w:abstractNumId w:val="9"/>
  </w:num>
  <w:num w:numId="3" w16cid:durableId="2245025">
    <w:abstractNumId w:val="7"/>
  </w:num>
  <w:num w:numId="4" w16cid:durableId="581137149">
    <w:abstractNumId w:val="6"/>
  </w:num>
  <w:num w:numId="5" w16cid:durableId="1329750753">
    <w:abstractNumId w:val="5"/>
  </w:num>
  <w:num w:numId="6" w16cid:durableId="297105252">
    <w:abstractNumId w:val="4"/>
  </w:num>
  <w:num w:numId="7" w16cid:durableId="1845046660">
    <w:abstractNumId w:val="8"/>
  </w:num>
  <w:num w:numId="8" w16cid:durableId="685251024">
    <w:abstractNumId w:val="3"/>
  </w:num>
  <w:num w:numId="9" w16cid:durableId="212234094">
    <w:abstractNumId w:val="2"/>
  </w:num>
  <w:num w:numId="10" w16cid:durableId="1187714724">
    <w:abstractNumId w:val="1"/>
  </w:num>
  <w:num w:numId="11" w16cid:durableId="1032849546">
    <w:abstractNumId w:val="0"/>
  </w:num>
  <w:num w:numId="12" w16cid:durableId="416512651">
    <w:abstractNumId w:val="12"/>
  </w:num>
  <w:num w:numId="13" w16cid:durableId="2030795676">
    <w:abstractNumId w:val="12"/>
  </w:num>
  <w:num w:numId="14" w16cid:durableId="784541026">
    <w:abstractNumId w:val="12"/>
  </w:num>
  <w:num w:numId="15" w16cid:durableId="568080014">
    <w:abstractNumId w:val="12"/>
  </w:num>
  <w:num w:numId="16" w16cid:durableId="1906645243">
    <w:abstractNumId w:val="12"/>
  </w:num>
  <w:num w:numId="17" w16cid:durableId="2051686242">
    <w:abstractNumId w:val="12"/>
  </w:num>
  <w:num w:numId="18" w16cid:durableId="1550721077">
    <w:abstractNumId w:val="12"/>
  </w:num>
  <w:num w:numId="19" w16cid:durableId="2140147343">
    <w:abstractNumId w:val="12"/>
  </w:num>
  <w:num w:numId="20" w16cid:durableId="2008753591">
    <w:abstractNumId w:val="12"/>
  </w:num>
  <w:num w:numId="21" w16cid:durableId="729350383">
    <w:abstractNumId w:val="12"/>
  </w:num>
  <w:num w:numId="22" w16cid:durableId="406198003">
    <w:abstractNumId w:val="10"/>
  </w:num>
  <w:num w:numId="23" w16cid:durableId="10997199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D725DC"/>
    <w:rsid w:val="00D9064A"/>
    <w:rsid w:val="00E66AE9"/>
    <w:rsid w:val="00F3183D"/>
    <w:rsid w:val="00F6096A"/>
    <w:rsid w:val="00FF0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14830"/>
  <w15:docId w15:val="{56DC8F0E-103B-4F87-82A0-F6FB11E37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EastAsia" w:hAnsi="Palatino Linotype" w:cstheme="minorBidi"/>
        <w:sz w:val="24"/>
        <w:szCs w:val="24"/>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2F28"/>
  </w:style>
  <w:style w:type="paragraph" w:styleId="Heading1">
    <w:name w:val="heading 1"/>
    <w:basedOn w:val="Normal"/>
    <w:next w:val="Normal"/>
    <w:link w:val="Heading1Char"/>
    <w:uiPriority w:val="9"/>
    <w:qFormat/>
    <w:rsid w:val="00B52C0E"/>
    <w:pPr>
      <w:keepNext/>
      <w:keepLines/>
      <w:numPr>
        <w:numId w:val="2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52C0E"/>
    <w:pPr>
      <w:keepNext/>
      <w:keepLines/>
      <w:numPr>
        <w:ilvl w:val="1"/>
        <w:numId w:val="2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B52C0E"/>
    <w:pPr>
      <w:keepNext/>
      <w:keepLines/>
      <w:numPr>
        <w:ilvl w:val="2"/>
        <w:numId w:val="2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B52C0E"/>
    <w:pPr>
      <w:keepNext/>
      <w:keepLines/>
      <w:numPr>
        <w:ilvl w:val="3"/>
        <w:numId w:val="2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B52C0E"/>
    <w:pPr>
      <w:keepNext/>
      <w:keepLines/>
      <w:numPr>
        <w:ilvl w:val="4"/>
        <w:numId w:val="2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unhideWhenUsed/>
    <w:qFormat/>
    <w:rsid w:val="00B52C0E"/>
    <w:pPr>
      <w:keepNext/>
      <w:keepLines/>
      <w:numPr>
        <w:ilvl w:val="5"/>
        <w:numId w:val="2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unhideWhenUsed/>
    <w:qFormat/>
    <w:rsid w:val="00B52C0E"/>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52C0E"/>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B52C0E"/>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364D5"/>
    <w:pPr>
      <w:spacing w:before="180" w:after="180"/>
    </w:pPr>
    <w:rPr>
      <w:rFonts w:cs="Times New Roman"/>
    </w:rPr>
  </w:style>
  <w:style w:type="paragraph" w:customStyle="1" w:styleId="FirstParagraph">
    <w:name w:val="First Paragraph"/>
    <w:basedOn w:val="BodyText"/>
    <w:next w:val="BodyText"/>
    <w:rsid w:val="002364D5"/>
  </w:style>
  <w:style w:type="paragraph" w:customStyle="1" w:styleId="Compact">
    <w:name w:val="Compact"/>
    <w:basedOn w:val="BodyText"/>
    <w:rsid w:val="002364D5"/>
    <w:pPr>
      <w:spacing w:before="36" w:after="36"/>
    </w:pPr>
  </w:style>
  <w:style w:type="paragraph" w:styleId="Title">
    <w:name w:val="Title"/>
    <w:basedOn w:val="Normal"/>
    <w:next w:val="Normal"/>
    <w:link w:val="TitleChar"/>
    <w:uiPriority w:val="10"/>
    <w:qFormat/>
    <w:rsid w:val="00B52C0E"/>
    <w:pPr>
      <w:spacing w:after="0" w:line="240" w:lineRule="auto"/>
      <w:contextualSpacing/>
    </w:pPr>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E5835"/>
    <w:pPr>
      <w:numPr>
        <w:ilvl w:val="1"/>
      </w:numPr>
    </w:pPr>
    <w:rPr>
      <w:color w:val="5A5A5A" w:themeColor="text1" w:themeTint="A5"/>
      <w:spacing w:val="10"/>
      <w:sz w:val="44"/>
    </w:rPr>
  </w:style>
  <w:style w:type="paragraph" w:customStyle="1" w:styleId="Author">
    <w:name w:val="Author"/>
    <w:next w:val="BodyText"/>
    <w:rsid w:val="002364D5"/>
    <w:pPr>
      <w:keepNext/>
      <w:keepLines/>
      <w:jc w:val="center"/>
    </w:pPr>
    <w:rPr>
      <w:rFonts w:ascii="Times New Roman" w:hAnsi="Times New Roman" w:cs="Times New Roman"/>
    </w:rPr>
  </w:style>
  <w:style w:type="paragraph" w:styleId="Date">
    <w:name w:val="Date"/>
    <w:next w:val="BodyText"/>
    <w:rsid w:val="002364D5"/>
    <w:pPr>
      <w:keepNext/>
      <w:keepLines/>
      <w:jc w:val="center"/>
    </w:pPr>
    <w:rPr>
      <w:rFonts w:ascii="Times New Roman" w:hAnsi="Times New Roman" w:cs="Times New Roman"/>
    </w:rPr>
  </w:style>
  <w:style w:type="paragraph" w:customStyle="1" w:styleId="Abstract">
    <w:name w:val="Abstract"/>
    <w:basedOn w:val="Normal"/>
    <w:next w:val="BodyText"/>
    <w:pPr>
      <w:keepNext/>
      <w:keepLines/>
      <w:spacing w:before="3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rsid w:val="002364D5"/>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364D5"/>
    <w:pPr>
      <w:keepNext/>
      <w:keepLines/>
      <w:spacing w:after="0"/>
    </w:pPr>
    <w:rPr>
      <w:rFonts w:cs="Times New Roman"/>
      <w:b/>
    </w:rPr>
  </w:style>
  <w:style w:type="paragraph" w:customStyle="1" w:styleId="Definition">
    <w:name w:val="Definition"/>
    <w:basedOn w:val="Normal"/>
    <w:rsid w:val="002364D5"/>
    <w:rPr>
      <w:rFonts w:cs="Times New Roman"/>
    </w:rPr>
  </w:style>
  <w:style w:type="paragraph" w:styleId="Caption">
    <w:name w:val="caption"/>
    <w:basedOn w:val="Normal"/>
    <w:next w:val="Normal"/>
    <w:link w:val="CaptionChar"/>
    <w:uiPriority w:val="35"/>
    <w:unhideWhenUsed/>
    <w:qFormat/>
    <w:rsid w:val="00B52C0E"/>
    <w:pPr>
      <w:spacing w:after="200" w:line="240" w:lineRule="auto"/>
    </w:pPr>
    <w:rPr>
      <w:i/>
      <w:iCs/>
      <w:color w:val="1F497D" w:themeColor="text2"/>
      <w:sz w:val="18"/>
      <w:szCs w:val="18"/>
    </w:rPr>
  </w:style>
  <w:style w:type="paragraph" w:customStyle="1" w:styleId="TableCaption">
    <w:name w:val="Table Caption"/>
    <w:basedOn w:val="Caption"/>
    <w:rsid w:val="002364D5"/>
    <w:pPr>
      <w:keepNext/>
    </w:pPr>
    <w:rPr>
      <w:rFonts w:cs="Times New Roman"/>
    </w:rPr>
  </w:style>
  <w:style w:type="paragraph" w:customStyle="1" w:styleId="ImageCaption">
    <w:name w:val="Image Caption"/>
    <w:basedOn w:val="Caption"/>
    <w:rsid w:val="002364D5"/>
    <w:rPr>
      <w:rFonts w:cs="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1F497D" w:themeColor="text2"/>
      <w:sz w:val="18"/>
      <w:szCs w:val="18"/>
    </w:rPr>
  </w:style>
  <w:style w:type="character" w:customStyle="1" w:styleId="VerbatimChar">
    <w:name w:val="Verbatim Char"/>
    <w:basedOn w:val="CaptionChar"/>
    <w:link w:val="SourceCode"/>
    <w:rPr>
      <w:rFonts w:ascii="Consolas" w:hAnsi="Consolas"/>
      <w:i/>
      <w:iCs/>
      <w:color w:val="1F497D" w:themeColor="text2"/>
      <w:sz w:val="22"/>
      <w:szCs w:val="18"/>
    </w:rPr>
  </w:style>
  <w:style w:type="character" w:customStyle="1" w:styleId="SectionNumber">
    <w:name w:val="Section Number"/>
    <w:basedOn w:val="CaptionChar"/>
    <w:rPr>
      <w:i/>
      <w:iCs/>
      <w:color w:val="1F497D" w:themeColor="text2"/>
      <w:sz w:val="18"/>
      <w:szCs w:val="18"/>
    </w:rPr>
  </w:style>
  <w:style w:type="character" w:styleId="FootnoteReference">
    <w:name w:val="footnote reference"/>
    <w:basedOn w:val="CaptionChar"/>
    <w:rPr>
      <w:i/>
      <w:iCs/>
      <w:color w:val="1F497D" w:themeColor="text2"/>
      <w:sz w:val="18"/>
      <w:szCs w:val="18"/>
      <w:vertAlign w:val="superscript"/>
    </w:rPr>
  </w:style>
  <w:style w:type="character" w:styleId="Hyperlink">
    <w:name w:val="Hyperlink"/>
    <w:basedOn w:val="CaptionChar"/>
    <w:rPr>
      <w:i/>
      <w:iCs/>
      <w:color w:val="4F81BD" w:themeColor="accent1"/>
      <w:sz w:val="18"/>
      <w:szCs w:val="18"/>
    </w:rPr>
  </w:style>
  <w:style w:type="paragraph" w:styleId="TOCHeading">
    <w:name w:val="TOC Heading"/>
    <w:basedOn w:val="Heading1"/>
    <w:next w:val="Normal"/>
    <w:uiPriority w:val="39"/>
    <w:unhideWhenUsed/>
    <w:qFormat/>
    <w:rsid w:val="00B52C0E"/>
    <w:pPr>
      <w:outlineLvl w:val="9"/>
    </w:pPr>
  </w:style>
  <w:style w:type="paragraph" w:styleId="TableofFigures">
    <w:name w:val="table of figures"/>
    <w:basedOn w:val="Normal"/>
    <w:next w:val="Normal"/>
    <w:semiHidden/>
    <w:unhideWhenUsed/>
    <w:rsid w:val="00FF01EE"/>
    <w:pPr>
      <w:spacing w:after="0"/>
    </w:pPr>
  </w:style>
  <w:style w:type="character" w:customStyle="1" w:styleId="BodyTextChar">
    <w:name w:val="Body Text Char"/>
    <w:basedOn w:val="DefaultParagraphFont"/>
    <w:link w:val="BodyText"/>
    <w:rsid w:val="002364D5"/>
    <w:rPr>
      <w:rFonts w:ascii="Times New Roman" w:hAnsi="Times New Roman" w:cs="Times New Roman"/>
    </w:rPr>
  </w:style>
  <w:style w:type="paragraph" w:styleId="PlainText">
    <w:name w:val="Plain Text"/>
    <w:basedOn w:val="Normal"/>
    <w:link w:val="PlainTextChar"/>
    <w:semiHidden/>
    <w:unhideWhenUsed/>
    <w:rsid w:val="00FF01EE"/>
    <w:pPr>
      <w:spacing w:after="0"/>
    </w:pPr>
    <w:rPr>
      <w:sz w:val="21"/>
      <w:szCs w:val="21"/>
    </w:rPr>
  </w:style>
  <w:style w:type="character" w:customStyle="1" w:styleId="PlainTextChar">
    <w:name w:val="Plain Text Char"/>
    <w:basedOn w:val="DefaultParagraphFont"/>
    <w:link w:val="PlainText"/>
    <w:semiHidden/>
    <w:rsid w:val="00FF01EE"/>
    <w:rPr>
      <w:rFonts w:ascii="Times New Roman" w:hAnsi="Times New Roman"/>
      <w:sz w:val="21"/>
      <w:szCs w:val="21"/>
    </w:rPr>
  </w:style>
  <w:style w:type="character" w:customStyle="1" w:styleId="Heading1Char">
    <w:name w:val="Heading 1 Char"/>
    <w:basedOn w:val="DefaultParagraphFont"/>
    <w:link w:val="Heading1"/>
    <w:uiPriority w:val="9"/>
    <w:rsid w:val="00B52C0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52C0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52C0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B52C0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B52C0E"/>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rsid w:val="00B52C0E"/>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rsid w:val="00B52C0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52C0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B52C0E"/>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B52C0E"/>
    <w:rPr>
      <w:rFonts w:asciiTheme="majorHAnsi" w:eastAsiaTheme="majorEastAsia" w:hAnsiTheme="majorHAnsi" w:cstheme="majorBidi"/>
      <w:color w:val="000000" w:themeColor="text1"/>
      <w:sz w:val="56"/>
      <w:szCs w:val="56"/>
    </w:rPr>
  </w:style>
  <w:style w:type="character" w:customStyle="1" w:styleId="SubtitleChar">
    <w:name w:val="Subtitle Char"/>
    <w:basedOn w:val="DefaultParagraphFont"/>
    <w:link w:val="Subtitle"/>
    <w:uiPriority w:val="11"/>
    <w:rsid w:val="002E5835"/>
    <w:rPr>
      <w:color w:val="5A5A5A" w:themeColor="text1" w:themeTint="A5"/>
      <w:spacing w:val="10"/>
      <w:sz w:val="44"/>
    </w:rPr>
  </w:style>
  <w:style w:type="character" w:styleId="Strong">
    <w:name w:val="Strong"/>
    <w:basedOn w:val="DefaultParagraphFont"/>
    <w:uiPriority w:val="22"/>
    <w:qFormat/>
    <w:rsid w:val="00B52C0E"/>
    <w:rPr>
      <w:b/>
      <w:bCs/>
      <w:color w:val="000000" w:themeColor="text1"/>
    </w:rPr>
  </w:style>
  <w:style w:type="character" w:styleId="Emphasis">
    <w:name w:val="Emphasis"/>
    <w:basedOn w:val="DefaultParagraphFont"/>
    <w:uiPriority w:val="20"/>
    <w:qFormat/>
    <w:rsid w:val="00B52C0E"/>
    <w:rPr>
      <w:i/>
      <w:iCs/>
      <w:color w:val="auto"/>
    </w:rPr>
  </w:style>
  <w:style w:type="paragraph" w:styleId="NoSpacing">
    <w:name w:val="No Spacing"/>
    <w:uiPriority w:val="1"/>
    <w:qFormat/>
    <w:rsid w:val="00B52C0E"/>
    <w:pPr>
      <w:spacing w:after="0" w:line="240" w:lineRule="auto"/>
    </w:pPr>
  </w:style>
  <w:style w:type="paragraph" w:styleId="Quote">
    <w:name w:val="Quote"/>
    <w:basedOn w:val="Normal"/>
    <w:next w:val="Normal"/>
    <w:link w:val="QuoteChar"/>
    <w:uiPriority w:val="29"/>
    <w:qFormat/>
    <w:rsid w:val="00B52C0E"/>
    <w:pPr>
      <w:spacing w:before="160"/>
      <w:ind w:left="720" w:right="720"/>
    </w:pPr>
    <w:rPr>
      <w:i/>
      <w:iCs/>
      <w:color w:val="000000" w:themeColor="text1"/>
    </w:rPr>
  </w:style>
  <w:style w:type="character" w:customStyle="1" w:styleId="QuoteChar">
    <w:name w:val="Quote Char"/>
    <w:basedOn w:val="DefaultParagraphFont"/>
    <w:link w:val="Quote"/>
    <w:uiPriority w:val="29"/>
    <w:rsid w:val="00B52C0E"/>
    <w:rPr>
      <w:i/>
      <w:iCs/>
      <w:color w:val="000000" w:themeColor="text1"/>
    </w:rPr>
  </w:style>
  <w:style w:type="paragraph" w:styleId="IntenseQuote">
    <w:name w:val="Intense Quote"/>
    <w:basedOn w:val="Normal"/>
    <w:next w:val="Normal"/>
    <w:link w:val="IntenseQuoteChar"/>
    <w:uiPriority w:val="30"/>
    <w:qFormat/>
    <w:rsid w:val="00B52C0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52C0E"/>
    <w:rPr>
      <w:color w:val="000000" w:themeColor="text1"/>
      <w:shd w:val="clear" w:color="auto" w:fill="F2F2F2" w:themeFill="background1" w:themeFillShade="F2"/>
    </w:rPr>
  </w:style>
  <w:style w:type="character" w:styleId="SubtleEmphasis">
    <w:name w:val="Subtle Emphasis"/>
    <w:basedOn w:val="DefaultParagraphFont"/>
    <w:uiPriority w:val="19"/>
    <w:qFormat/>
    <w:rsid w:val="00B52C0E"/>
    <w:rPr>
      <w:i/>
      <w:iCs/>
      <w:color w:val="404040" w:themeColor="text1" w:themeTint="BF"/>
    </w:rPr>
  </w:style>
  <w:style w:type="character" w:styleId="IntenseEmphasis">
    <w:name w:val="Intense Emphasis"/>
    <w:basedOn w:val="DefaultParagraphFont"/>
    <w:uiPriority w:val="21"/>
    <w:qFormat/>
    <w:rsid w:val="00B52C0E"/>
    <w:rPr>
      <w:b/>
      <w:bCs/>
      <w:i/>
      <w:iCs/>
      <w:caps/>
    </w:rPr>
  </w:style>
  <w:style w:type="character" w:styleId="SubtleReference">
    <w:name w:val="Subtle Reference"/>
    <w:basedOn w:val="DefaultParagraphFont"/>
    <w:uiPriority w:val="31"/>
    <w:qFormat/>
    <w:rsid w:val="00B52C0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52C0E"/>
    <w:rPr>
      <w:b/>
      <w:bCs/>
      <w:smallCaps/>
      <w:u w:val="single"/>
    </w:rPr>
  </w:style>
  <w:style w:type="character" w:styleId="BookTitle">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i/>
      <w:iCs/>
      <w:color w:val="003B4F"/>
      <w:sz w:val="22"/>
      <w:szCs w:val="18"/>
      <w:shd w:val="clear" w:color="auto" w:fill="F1F3F5"/>
    </w:rPr>
  </w:style>
  <w:style w:type="character" w:customStyle="1" w:styleId="DataTypeTok">
    <w:name w:val="DataTypeTok"/>
    <w:basedOn w:val="VerbatimChar"/>
    <w:rPr>
      <w:rFonts w:ascii="Consolas" w:hAnsi="Consolas"/>
      <w:i/>
      <w:iCs/>
      <w:color w:val="AD0000"/>
      <w:sz w:val="22"/>
      <w:szCs w:val="18"/>
      <w:shd w:val="clear" w:color="auto" w:fill="F1F3F5"/>
    </w:rPr>
  </w:style>
  <w:style w:type="character" w:customStyle="1" w:styleId="DecValTok">
    <w:name w:val="DecValTok"/>
    <w:basedOn w:val="VerbatimChar"/>
    <w:rPr>
      <w:rFonts w:ascii="Consolas" w:hAnsi="Consolas"/>
      <w:i/>
      <w:iCs/>
      <w:color w:val="AD0000"/>
      <w:sz w:val="22"/>
      <w:szCs w:val="18"/>
      <w:shd w:val="clear" w:color="auto" w:fill="F1F3F5"/>
    </w:rPr>
  </w:style>
  <w:style w:type="character" w:customStyle="1" w:styleId="BaseNTok">
    <w:name w:val="BaseNTok"/>
    <w:basedOn w:val="VerbatimChar"/>
    <w:rPr>
      <w:rFonts w:ascii="Consolas" w:hAnsi="Consolas"/>
      <w:i/>
      <w:iCs/>
      <w:color w:val="AD0000"/>
      <w:sz w:val="22"/>
      <w:szCs w:val="18"/>
      <w:shd w:val="clear" w:color="auto" w:fill="F1F3F5"/>
    </w:rPr>
  </w:style>
  <w:style w:type="character" w:customStyle="1" w:styleId="FloatTok">
    <w:name w:val="FloatTok"/>
    <w:basedOn w:val="VerbatimChar"/>
    <w:rPr>
      <w:rFonts w:ascii="Consolas" w:hAnsi="Consolas"/>
      <w:i/>
      <w:iCs/>
      <w:color w:val="AD0000"/>
      <w:sz w:val="22"/>
      <w:szCs w:val="18"/>
      <w:shd w:val="clear" w:color="auto" w:fill="F1F3F5"/>
    </w:rPr>
  </w:style>
  <w:style w:type="character" w:customStyle="1" w:styleId="ConstantTok">
    <w:name w:val="ConstantTok"/>
    <w:basedOn w:val="VerbatimChar"/>
    <w:rPr>
      <w:rFonts w:ascii="Consolas" w:hAnsi="Consolas"/>
      <w:i/>
      <w:iCs/>
      <w:color w:val="8F5902"/>
      <w:sz w:val="22"/>
      <w:szCs w:val="18"/>
      <w:shd w:val="clear" w:color="auto" w:fill="F1F3F5"/>
    </w:rPr>
  </w:style>
  <w:style w:type="character" w:customStyle="1" w:styleId="CharTok">
    <w:name w:val="CharTok"/>
    <w:basedOn w:val="VerbatimChar"/>
    <w:rPr>
      <w:rFonts w:ascii="Consolas" w:hAnsi="Consolas"/>
      <w:i/>
      <w:iCs/>
      <w:color w:val="20794D"/>
      <w:sz w:val="22"/>
      <w:szCs w:val="18"/>
      <w:shd w:val="clear" w:color="auto" w:fill="F1F3F5"/>
    </w:rPr>
  </w:style>
  <w:style w:type="character" w:customStyle="1" w:styleId="SpecialCharTok">
    <w:name w:val="SpecialCharTok"/>
    <w:basedOn w:val="VerbatimChar"/>
    <w:rPr>
      <w:rFonts w:ascii="Consolas" w:hAnsi="Consolas"/>
      <w:i/>
      <w:iCs/>
      <w:color w:val="5E5E5E"/>
      <w:sz w:val="22"/>
      <w:szCs w:val="18"/>
      <w:shd w:val="clear" w:color="auto" w:fill="F1F3F5"/>
    </w:rPr>
  </w:style>
  <w:style w:type="character" w:customStyle="1" w:styleId="StringTok">
    <w:name w:val="StringTok"/>
    <w:basedOn w:val="VerbatimChar"/>
    <w:rPr>
      <w:rFonts w:ascii="Consolas" w:hAnsi="Consolas"/>
      <w:i/>
      <w:iCs/>
      <w:color w:val="20794D"/>
      <w:sz w:val="22"/>
      <w:szCs w:val="18"/>
      <w:shd w:val="clear" w:color="auto" w:fill="F1F3F5"/>
    </w:rPr>
  </w:style>
  <w:style w:type="character" w:customStyle="1" w:styleId="VerbatimStringTok">
    <w:name w:val="VerbatimStringTok"/>
    <w:basedOn w:val="VerbatimChar"/>
    <w:rPr>
      <w:rFonts w:ascii="Consolas" w:hAnsi="Consolas"/>
      <w:i/>
      <w:iCs/>
      <w:color w:val="20794D"/>
      <w:sz w:val="22"/>
      <w:szCs w:val="18"/>
      <w:shd w:val="clear" w:color="auto" w:fill="F1F3F5"/>
    </w:rPr>
  </w:style>
  <w:style w:type="character" w:customStyle="1" w:styleId="SpecialStringTok">
    <w:name w:val="SpecialStringTok"/>
    <w:basedOn w:val="VerbatimChar"/>
    <w:rPr>
      <w:rFonts w:ascii="Consolas" w:hAnsi="Consolas"/>
      <w:i/>
      <w:iCs/>
      <w:color w:val="20794D"/>
      <w:sz w:val="22"/>
      <w:szCs w:val="18"/>
      <w:shd w:val="clear" w:color="auto" w:fill="F1F3F5"/>
    </w:rPr>
  </w:style>
  <w:style w:type="character" w:customStyle="1" w:styleId="ImportTok">
    <w:name w:val="ImportTok"/>
    <w:basedOn w:val="VerbatimChar"/>
    <w:rPr>
      <w:rFonts w:ascii="Consolas" w:hAnsi="Consolas"/>
      <w:i/>
      <w:iCs/>
      <w:color w:val="00769E"/>
      <w:sz w:val="22"/>
      <w:szCs w:val="18"/>
      <w:shd w:val="clear" w:color="auto" w:fill="F1F3F5"/>
    </w:rPr>
  </w:style>
  <w:style w:type="character" w:customStyle="1" w:styleId="CommentTok">
    <w:name w:val="CommentTok"/>
    <w:basedOn w:val="VerbatimChar"/>
    <w:rPr>
      <w:rFonts w:ascii="Consolas" w:hAnsi="Consolas"/>
      <w:i/>
      <w:iCs/>
      <w:color w:val="5E5E5E"/>
      <w:sz w:val="22"/>
      <w:szCs w:val="18"/>
      <w:shd w:val="clear" w:color="auto" w:fill="F1F3F5"/>
    </w:rPr>
  </w:style>
  <w:style w:type="character" w:customStyle="1" w:styleId="DocumentationTok">
    <w:name w:val="DocumentationTok"/>
    <w:basedOn w:val="VerbatimChar"/>
    <w:rPr>
      <w:rFonts w:ascii="Consolas" w:hAnsi="Consolas"/>
      <w:i/>
      <w:iCs/>
      <w:color w:val="5E5E5E"/>
      <w:sz w:val="22"/>
      <w:szCs w:val="18"/>
      <w:shd w:val="clear" w:color="auto" w:fill="F1F3F5"/>
    </w:rPr>
  </w:style>
  <w:style w:type="character" w:customStyle="1" w:styleId="AnnotationTok">
    <w:name w:val="AnnotationTok"/>
    <w:basedOn w:val="VerbatimChar"/>
    <w:rPr>
      <w:rFonts w:ascii="Consolas" w:hAnsi="Consolas"/>
      <w:i/>
      <w:iCs/>
      <w:color w:val="5E5E5E"/>
      <w:sz w:val="22"/>
      <w:szCs w:val="18"/>
      <w:shd w:val="clear" w:color="auto" w:fill="F1F3F5"/>
    </w:rPr>
  </w:style>
  <w:style w:type="character" w:customStyle="1" w:styleId="CommentVarTok">
    <w:name w:val="CommentVarTok"/>
    <w:basedOn w:val="VerbatimChar"/>
    <w:rPr>
      <w:rFonts w:ascii="Consolas" w:hAnsi="Consolas"/>
      <w:i/>
      <w:iCs/>
      <w:color w:val="5E5E5E"/>
      <w:sz w:val="22"/>
      <w:szCs w:val="18"/>
      <w:shd w:val="clear" w:color="auto" w:fill="F1F3F5"/>
    </w:rPr>
  </w:style>
  <w:style w:type="character" w:customStyle="1" w:styleId="OtherTok">
    <w:name w:val="OtherTok"/>
    <w:basedOn w:val="VerbatimChar"/>
    <w:rPr>
      <w:rFonts w:ascii="Consolas" w:hAnsi="Consolas"/>
      <w:i/>
      <w:iCs/>
      <w:color w:val="003B4F"/>
      <w:sz w:val="22"/>
      <w:szCs w:val="18"/>
      <w:shd w:val="clear" w:color="auto" w:fill="F1F3F5"/>
    </w:rPr>
  </w:style>
  <w:style w:type="character" w:customStyle="1" w:styleId="FunctionTok">
    <w:name w:val="FunctionTok"/>
    <w:basedOn w:val="VerbatimChar"/>
    <w:rPr>
      <w:rFonts w:ascii="Consolas" w:hAnsi="Consolas"/>
      <w:i/>
      <w:iCs/>
      <w:color w:val="4758AB"/>
      <w:sz w:val="22"/>
      <w:szCs w:val="18"/>
      <w:shd w:val="clear" w:color="auto" w:fill="F1F3F5"/>
    </w:rPr>
  </w:style>
  <w:style w:type="character" w:customStyle="1" w:styleId="VariableTok">
    <w:name w:val="VariableTok"/>
    <w:basedOn w:val="VerbatimChar"/>
    <w:rPr>
      <w:rFonts w:ascii="Consolas" w:hAnsi="Consolas"/>
      <w:i/>
      <w:iCs/>
      <w:color w:val="111111"/>
      <w:sz w:val="22"/>
      <w:szCs w:val="18"/>
      <w:shd w:val="clear" w:color="auto" w:fill="F1F3F5"/>
    </w:rPr>
  </w:style>
  <w:style w:type="character" w:customStyle="1" w:styleId="ControlFlowTok">
    <w:name w:val="ControlFlowTok"/>
    <w:basedOn w:val="VerbatimChar"/>
    <w:rPr>
      <w:rFonts w:ascii="Consolas" w:hAnsi="Consolas"/>
      <w:b/>
      <w:i/>
      <w:iCs/>
      <w:color w:val="003B4F"/>
      <w:sz w:val="22"/>
      <w:szCs w:val="18"/>
      <w:shd w:val="clear" w:color="auto" w:fill="F1F3F5"/>
    </w:rPr>
  </w:style>
  <w:style w:type="character" w:customStyle="1" w:styleId="OperatorTok">
    <w:name w:val="OperatorTok"/>
    <w:basedOn w:val="VerbatimChar"/>
    <w:rPr>
      <w:rFonts w:ascii="Consolas" w:hAnsi="Consolas"/>
      <w:i/>
      <w:iCs/>
      <w:color w:val="5E5E5E"/>
      <w:sz w:val="22"/>
      <w:szCs w:val="18"/>
      <w:shd w:val="clear" w:color="auto" w:fill="F1F3F5"/>
    </w:rPr>
  </w:style>
  <w:style w:type="character" w:customStyle="1" w:styleId="BuiltInTok">
    <w:name w:val="BuiltInTok"/>
    <w:basedOn w:val="VerbatimChar"/>
    <w:rPr>
      <w:rFonts w:ascii="Consolas" w:hAnsi="Consolas"/>
      <w:i/>
      <w:iCs/>
      <w:color w:val="003B4F"/>
      <w:sz w:val="22"/>
      <w:szCs w:val="18"/>
      <w:shd w:val="clear" w:color="auto" w:fill="F1F3F5"/>
    </w:rPr>
  </w:style>
  <w:style w:type="character" w:customStyle="1" w:styleId="ExtensionTok">
    <w:name w:val="ExtensionTok"/>
    <w:basedOn w:val="VerbatimChar"/>
    <w:rPr>
      <w:rFonts w:ascii="Consolas" w:hAnsi="Consolas"/>
      <w:i/>
      <w:iCs/>
      <w:color w:val="003B4F"/>
      <w:sz w:val="22"/>
      <w:szCs w:val="18"/>
      <w:shd w:val="clear" w:color="auto" w:fill="F1F3F5"/>
    </w:rPr>
  </w:style>
  <w:style w:type="character" w:customStyle="1" w:styleId="PreprocessorTok">
    <w:name w:val="PreprocessorTok"/>
    <w:basedOn w:val="VerbatimChar"/>
    <w:rPr>
      <w:rFonts w:ascii="Consolas" w:hAnsi="Consolas"/>
      <w:i/>
      <w:iCs/>
      <w:color w:val="AD0000"/>
      <w:sz w:val="22"/>
      <w:szCs w:val="18"/>
      <w:shd w:val="clear" w:color="auto" w:fill="F1F3F5"/>
    </w:rPr>
  </w:style>
  <w:style w:type="character" w:customStyle="1" w:styleId="AttributeTok">
    <w:name w:val="AttributeTok"/>
    <w:basedOn w:val="VerbatimChar"/>
    <w:rPr>
      <w:rFonts w:ascii="Consolas" w:hAnsi="Consolas"/>
      <w:i/>
      <w:iCs/>
      <w:color w:val="657422"/>
      <w:sz w:val="22"/>
      <w:szCs w:val="18"/>
      <w:shd w:val="clear" w:color="auto" w:fill="F1F3F5"/>
    </w:rPr>
  </w:style>
  <w:style w:type="character" w:customStyle="1" w:styleId="RegionMarkerTok">
    <w:name w:val="RegionMarkerTok"/>
    <w:basedOn w:val="VerbatimChar"/>
    <w:rPr>
      <w:rFonts w:ascii="Consolas" w:hAnsi="Consolas"/>
      <w:i/>
      <w:iCs/>
      <w:color w:val="003B4F"/>
      <w:sz w:val="22"/>
      <w:szCs w:val="18"/>
      <w:shd w:val="clear" w:color="auto" w:fill="F1F3F5"/>
    </w:rPr>
  </w:style>
  <w:style w:type="character" w:customStyle="1" w:styleId="InformationTok">
    <w:name w:val="InformationTok"/>
    <w:basedOn w:val="VerbatimChar"/>
    <w:rPr>
      <w:rFonts w:ascii="Consolas" w:hAnsi="Consolas"/>
      <w:i/>
      <w:iCs/>
      <w:color w:val="5E5E5E"/>
      <w:sz w:val="22"/>
      <w:szCs w:val="18"/>
      <w:shd w:val="clear" w:color="auto" w:fill="F1F3F5"/>
    </w:rPr>
  </w:style>
  <w:style w:type="character" w:customStyle="1" w:styleId="WarningTok">
    <w:name w:val="WarningTok"/>
    <w:basedOn w:val="VerbatimChar"/>
    <w:rPr>
      <w:rFonts w:ascii="Consolas" w:hAnsi="Consolas"/>
      <w:i/>
      <w:iCs/>
      <w:color w:val="5E5E5E"/>
      <w:sz w:val="22"/>
      <w:szCs w:val="18"/>
      <w:shd w:val="clear" w:color="auto" w:fill="F1F3F5"/>
    </w:rPr>
  </w:style>
  <w:style w:type="character" w:customStyle="1" w:styleId="AlertTok">
    <w:name w:val="AlertTok"/>
    <w:basedOn w:val="VerbatimChar"/>
    <w:rPr>
      <w:rFonts w:ascii="Consolas" w:hAnsi="Consolas"/>
      <w:i/>
      <w:iCs/>
      <w:color w:val="AD0000"/>
      <w:sz w:val="22"/>
      <w:szCs w:val="18"/>
      <w:shd w:val="clear" w:color="auto" w:fill="F1F3F5"/>
    </w:rPr>
  </w:style>
  <w:style w:type="character" w:customStyle="1" w:styleId="ErrorTok">
    <w:name w:val="ErrorTok"/>
    <w:basedOn w:val="VerbatimChar"/>
    <w:rPr>
      <w:rFonts w:ascii="Consolas" w:hAnsi="Consolas"/>
      <w:i/>
      <w:iCs/>
      <w:color w:val="AD0000"/>
      <w:sz w:val="22"/>
      <w:szCs w:val="18"/>
      <w:shd w:val="clear" w:color="auto" w:fill="F1F3F5"/>
    </w:rPr>
  </w:style>
  <w:style w:type="character" w:customStyle="1" w:styleId="NormalTok">
    <w:name w:val="NormalTok"/>
    <w:basedOn w:val="VerbatimChar"/>
    <w:rPr>
      <w:rFonts w:ascii="Consolas" w:hAnsi="Consolas"/>
      <w:i/>
      <w:iCs/>
      <w:color w:val="003B4F"/>
      <w:sz w:val="22"/>
      <w:szCs w:val="18"/>
      <w:shd w:val="clear" w:color="auto" w:fill="F1F3F5"/>
    </w:rPr>
  </w:style>
  <w:style w:type="paragraph" w:styleId="Footer">
    <w:name w:val="footer"/>
    <w:basedOn w:val="Normal"/>
    <w:link w:val="FooterChar"/>
    <w:unhideWhenUsed/>
    <w:rsid w:val="00E66AE9"/>
    <w:pPr>
      <w:tabs>
        <w:tab w:val="center" w:pos="4680"/>
        <w:tab w:val="right" w:pos="9360"/>
      </w:tabs>
      <w:spacing w:after="0" w:line="240" w:lineRule="auto"/>
    </w:pPr>
  </w:style>
  <w:style w:type="character" w:customStyle="1" w:styleId="FooterChar">
    <w:name w:val="Footer Char"/>
    <w:basedOn w:val="DefaultParagraphFont"/>
    <w:link w:val="Footer"/>
    <w:rsid w:val="00E66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ecd.org/sdd/measuring-distance-to-the-sdg-targets-2019-a8caf3fa-en.htm"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hyperlink" Target="https://www.nature.com/articles/s41597-023-01971-0" TargetMode="External"/><Relationship Id="rId12" Type="http://schemas.openxmlformats.org/officeDocument/2006/relationships/hyperlink" Target="https://docs.google.com/document/d/1MBK0hN6MoQrii7_E1bmRXmsUcE8Fbb-Q32nxm8d8qTw/edi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lo.org/ilostat-files/Documents/TEM.pdf" TargetMode="External"/><Relationship Id="rId24" Type="http://schemas.openxmlformats.org/officeDocument/2006/relationships/image" Target="media/image11.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washdata.org/" TargetMode="Externa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hildmortality.org/"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hyperlink" Target="http://iresearch.worldbank.org/P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33</Pages>
  <Words>4874</Words>
  <Characters>27052</Characters>
  <Application>Microsoft Office Word</Application>
  <DocSecurity>0</DocSecurity>
  <Lines>966</Lines>
  <Paragraphs>312</Paragraphs>
  <ScaleCrop>false</ScaleCrop>
  <Company>WBG</Company>
  <LinksUpToDate>false</LinksUpToDate>
  <CharactersWithSpaces>31614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cp:lastModifiedBy>Zander Prinsloo</cp:lastModifiedBy>
  <cp:revision>2</cp:revision>
  <dcterms:created xsi:type="dcterms:W3CDTF">2025-12-09T21:34:00Z</dcterms:created>
  <dcterms:modified xsi:type="dcterms:W3CDTF">2025-12-09T21:42:00Z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Sri Lanka Country Report</vt:lpwstr>
  </property>
  <property fmtid="{D5CDD505-2E9C-101B-9397-08002B2CF9AE}" pid="10" name="toc-title">
    <vt:lpwstr>Table of contents</vt:lpwstr>
  </property>
  <property fmtid="{D5CDD505-2E9C-101B-9397-08002B2CF9AE}" pid="11" name="MSIP_Label_f1bf45b6-5649-4236-82a3-f45024cd282e_Enabled">
    <vt:lpwstr>true</vt:lpwstr>
  </property>
  <property fmtid="{D5CDD505-2E9C-101B-9397-08002B2CF9AE}" pid="12" name="MSIP_Label_f1bf45b6-5649-4236-82a3-f45024cd282e_SetDate">
    <vt:lpwstr>2025-12-09T21:42:54Z</vt:lpwstr>
  </property>
  <property fmtid="{D5CDD505-2E9C-101B-9397-08002B2CF9AE}" pid="13" name="MSIP_Label_f1bf45b6-5649-4236-82a3-f45024cd282e_Method">
    <vt:lpwstr>Standard</vt:lpwstr>
  </property>
  <property fmtid="{D5CDD505-2E9C-101B-9397-08002B2CF9AE}" pid="14" name="MSIP_Label_f1bf45b6-5649-4236-82a3-f45024cd282e_Name">
    <vt:lpwstr>Official Use Only</vt:lpwstr>
  </property>
  <property fmtid="{D5CDD505-2E9C-101B-9397-08002B2CF9AE}" pid="15" name="MSIP_Label_f1bf45b6-5649-4236-82a3-f45024cd282e_SiteId">
    <vt:lpwstr>31a2fec0-266b-4c67-b56e-2796d8f59c36</vt:lpwstr>
  </property>
  <property fmtid="{D5CDD505-2E9C-101B-9397-08002B2CF9AE}" pid="16" name="MSIP_Label_f1bf45b6-5649-4236-82a3-f45024cd282e_ActionId">
    <vt:lpwstr>92153aee-eab3-4ec4-be43-67c04be9c9e6</vt:lpwstr>
  </property>
  <property fmtid="{D5CDD505-2E9C-101B-9397-08002B2CF9AE}" pid="17" name="MSIP_Label_f1bf45b6-5649-4236-82a3-f45024cd282e_ContentBits">
    <vt:lpwstr>2</vt:lpwstr>
  </property>
  <property fmtid="{D5CDD505-2E9C-101B-9397-08002B2CF9AE}" pid="18" name="MSIP_Label_f1bf45b6-5649-4236-82a3-f45024cd282e_Tag">
    <vt:lpwstr>10, 3, 0, 1</vt:lpwstr>
  </property>
</Properties>
</file>