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Bangladesh Country Report</w:t>
      </w:r>
    </w:p>
    <w:bookmarkStart w:id="75" w:name="introduction"/>
    <w:p>
      <w:pPr>
        <w:pStyle w:val="Heading1"/>
      </w:pPr>
      <w:r>
        <w:t xml:space="preserve">Introduction</w:t>
      </w:r>
    </w:p>
    <w:p>
      <w:pPr>
        <w:pStyle w:val="FirstParagraph"/>
      </w:pPr>
      <w:r>
        <w:t xml:space="preserve">Bangladesh received a score of 71.6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Bangladesh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Bangladesh received a score of</w:t>
      </w:r>
      <w:r>
        <w:t xml:space="preserve"> </w:t>
      </w:r>
      <w:r>
        <w:rPr>
          <w:b/>
          <w:bCs/>
        </w:rPr>
        <w:t xml:space="preserve">63.5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Bangladesh received a score of 83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Bangladesh received a score of 66.7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Bangladesh received a score of 65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Bangladesh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Bangladesh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Bangladesh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Bangladesh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Bangladesh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Bangladesh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Bangladesh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Bangladesh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Bangladesh received a score of 0.9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Bangladesh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Bangladesh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Bangladesh received a score of 0.7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Bangladesh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2001,2011,2022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1996,2005,2008,2019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1983, 1985, 1986, 1988, 1989, 1991, 1992, 1994, 1995, 2000, 2005, 2010, 2016, 2022</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2005, 2016, 2021, 2022</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2001, 2002, 2004, 2006, 2009, 2010, 2013, 2014, 2015, 2016, 2017, 2022, 2023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1993, 1994, 1995, 1996, 1997, 1999, 2000, 2001, 2003, 2004, 2006, 2007, 2009, 2011, 2012, 2014, 2017, 2019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2010, 2013, 2022</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Bangladesh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2025-11-25T07:58:15Z</dcterms:created>
  <dcterms:modified xsi:type="dcterms:W3CDTF">2025-11-25T07:58:15Z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Bangladesh Country Report</vt:lpwstr>
  </property>
  <property fmtid="{D5CDD505-2E9C-101B-9397-08002B2CF9AE}" pid="10" name="toc-title">
    <vt:lpwstr>Table of contents</vt:lpwstr>
  </property>
</Properties>
</file>