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Bermuda Country Report</w:t>
      </w:r>
    </w:p>
    <w:bookmarkStart w:id="75" w:name="introduction"/>
    <w:p>
      <w:pPr>
        <w:pStyle w:val="Heading1"/>
      </w:pPr>
      <w:r>
        <w:t xml:space="preserve">Introduction</w:t>
      </w:r>
    </w:p>
    <w:p>
      <w:pPr>
        <w:pStyle w:val="FirstParagraph"/>
      </w:pPr>
      <w:r>
        <w:t xml:space="preserve">Bermuda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Bermuda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Bermuda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Bermuda received a score of 25.4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Bermuda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Bermuda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Bermuda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Bermuda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Bermuda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Bermuda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Bermuda received a score of 0.2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Bermuda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Bermuda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Bermuda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Bermuda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Bermuda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Bermuda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Bermuda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Bermuda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Bermuda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2025-11-25T08:05:04Z</dcterms:created>
  <dcterms:modified xsi:type="dcterms:W3CDTF">2025-11-25T08:05:04Z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Bermuda Country Report</vt:lpwstr>
  </property>
  <property fmtid="{D5CDD505-2E9C-101B-9397-08002B2CF9AE}" pid="10" name="toc-title">
    <vt:lpwstr>Table of contents</vt:lpwstr>
  </property>
</Properties>
</file>