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Brunei Darussalam Country Report</w:t>
      </w:r>
    </w:p>
    <w:bookmarkStart w:id="75" w:name="introduction"/>
    <w:p>
      <w:pPr>
        <w:pStyle w:val="Heading1"/>
      </w:pPr>
      <w:r>
        <w:t xml:space="preserve">Introduction</w:t>
      </w:r>
    </w:p>
    <w:p>
      <w:pPr>
        <w:pStyle w:val="FirstParagraph"/>
      </w:pPr>
      <w:r>
        <w:t xml:space="preserve">Brunei Darussalam received a score of 61.4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Brunei Darussalam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Brunei Darussalam received a score of</w:t>
      </w:r>
      <w:r>
        <w:t xml:space="preserve"> </w:t>
      </w:r>
      <w:r>
        <w:rPr>
          <w:b/>
          <w:bCs/>
        </w:rPr>
        <w:t xml:space="preserve">72.2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Brunei Darussalam received a score of 61.6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Brunei Darussalam received a score of 53.4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Brunei Darussalam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Brunei Darussalam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Brunei Darussalam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Brunei Darussalam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Brunei Darussalam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Brunei Darussalam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Brunei Darussalam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Brunei Darussalam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Brunei Darussalam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Brunei Darussalam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Brunei Darussalam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Brunei Darussalam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Brunei Darussalam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Brunei Darussalam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2005, 2010, 2015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2008, 2014, 2017, 2018, 2019, 2020, 2021, 2022, 2023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Brunei Darussalam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2025-11-25T07:19:43Z</dcterms:created>
  <dcterms:modified xsi:type="dcterms:W3CDTF">2025-11-25T07:19:43Z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Brunei Darussalam Country Report</vt:lpwstr>
  </property>
  <property fmtid="{D5CDD505-2E9C-101B-9397-08002B2CF9AE}" pid="10" name="toc-title">
    <vt:lpwstr>Table of contents</vt:lpwstr>
  </property>
</Properties>
</file>