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Cayman Islands Country Report</w:t>
      </w:r>
    </w:p>
    <w:bookmarkStart w:id="75" w:name="introduction"/>
    <w:p>
      <w:pPr>
        <w:pStyle w:val="Heading1"/>
      </w:pPr>
      <w:r>
        <w:t xml:space="preserve">Introduction</w:t>
      </w:r>
    </w:p>
    <w:p>
      <w:pPr>
        <w:pStyle w:val="FirstParagraph"/>
      </w:pPr>
      <w:r>
        <w:t xml:space="preserve">Cayman Islands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Cayman Islands received a score of 30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Cayman Islands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Cayman Islands received a score of 27.7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Cayman Islands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Cayman Islands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Cayman Islands received a score of 0.3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Cayman Islands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Cayman Islands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Cayman Islands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Cayman Islands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Cayman Islands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Cayman Islands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Cayman Islands received a score of 0.3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Cayman Islands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Cayman Islands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Cayman Islands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Cayman Islands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Cayman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Cayman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2025-11-25T02:24:04Z</dcterms:created>
  <dcterms:modified xsi:type="dcterms:W3CDTF">2025-11-25T02:24:04Z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Cayman Islands Country Report</vt:lpwstr>
  </property>
  <property fmtid="{D5CDD505-2E9C-101B-9397-08002B2CF9AE}" pid="10" name="toc-title">
    <vt:lpwstr>Table of contents</vt:lpwstr>
  </property>
</Properties>
</file>