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Channel Islands Country Report</w:t>
      </w:r>
    </w:p>
    <w:bookmarkStart w:id="75" w:name="introduction"/>
    <w:p>
      <w:pPr>
        <w:pStyle w:val="Heading1"/>
      </w:pPr>
      <w:r>
        <w:t xml:space="preserve">Introduction</w:t>
      </w:r>
    </w:p>
    <w:p>
      <w:pPr>
        <w:pStyle w:val="FirstParagraph"/>
      </w:pPr>
      <w:r>
        <w:t xml:space="preserve">Channel Islands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Channel Islands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Channel Islands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Channel Islands received a score of NA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Channel Islands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Channel Islands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Channel Islands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Channel Islands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Channel Islands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Channel Islands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Channel Islands received a score of NA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Channel Islands received a score of NA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Channel Islands received a score of NA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Channel Islands received a score of NA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Channel Islands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Channel Islands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Channel Islands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Channel Islands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Channel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Channel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2025-11-25T06:22:14Z</dcterms:created>
  <dcterms:modified xsi:type="dcterms:W3CDTF">2025-11-25T06:22:14Z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Channel Islands Country Report</vt:lpwstr>
  </property>
  <property fmtid="{D5CDD505-2E9C-101B-9397-08002B2CF9AE}" pid="10" name="toc-title">
    <vt:lpwstr>Table of contents</vt:lpwstr>
  </property>
</Properties>
</file>