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Congo, Dem. Rep. Country Report</w:t>
      </w:r>
    </w:p>
    <w:bookmarkStart w:id="75" w:name="introduction"/>
    <w:p>
      <w:pPr>
        <w:pStyle w:val="Heading1"/>
      </w:pPr>
      <w:r>
        <w:t xml:space="preserve">Introduction</w:t>
      </w:r>
    </w:p>
    <w:p>
      <w:pPr>
        <w:pStyle w:val="FirstParagraph"/>
      </w:pPr>
      <w:r>
        <w:t xml:space="preserve">Congo, Dem. Rep. received a score of 46.3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Congo, Dem. Rep.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Congo, Dem. Rep. received a score of</w:t>
      </w:r>
      <w:r>
        <w:t xml:space="preserve"> </w:t>
      </w:r>
      <w:r>
        <w:rPr>
          <w:b/>
          <w:bCs/>
        </w:rPr>
        <w:t xml:space="preserve">62.8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Congo, Dem. Rep. received a score of 64.3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Congo, Dem. Rep. received a score of 24.4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Congo, Dem. Rep.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Congo, Dem. Rep.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Congo, Dem. Rep.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Congo, Dem. Rep.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Congo, Dem. Rep.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Congo, Dem. Rep.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Congo, Dem. Rep.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Congo, Dem. Rep.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Congo, Dem. Rep.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Congo, Dem. Rep.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Congo, Dem. Rep.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Congo, Dem. Rep.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Congo, Dem. Rep.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Congo, Dem. Rep.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2004, 2012, 2020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2005, 2012, 2018, 2021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1995, 2001, 2007, 2010, 2013, 2017, 2023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2006, 2010, 2013, 2014, 2024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Congo, Dem. Rep.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2025-11-25T04:56:47Z</dcterms:created>
  <dcterms:modified xsi:type="dcterms:W3CDTF">2025-11-25T04:56:47Z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Congo, Dem. Rep. Country Report</vt:lpwstr>
  </property>
  <property fmtid="{D5CDD505-2E9C-101B-9397-08002B2CF9AE}" pid="10" name="toc-title">
    <vt:lpwstr>Table of contents</vt:lpwstr>
  </property>
</Properties>
</file>