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Costa Rica Country Report</w:t>
      </w:r>
    </w:p>
    <w:bookmarkStart w:id="75" w:name="introduction"/>
    <w:p>
      <w:pPr>
        <w:pStyle w:val="Heading1"/>
      </w:pPr>
      <w:r>
        <w:t xml:space="preserve">Introduction</w:t>
      </w:r>
    </w:p>
    <w:p>
      <w:pPr>
        <w:pStyle w:val="FirstParagraph"/>
      </w:pPr>
      <w:r>
        <w:t xml:space="preserve">Costa Rica received a score of 91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Costa Rica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Costa Rica received a score of</w:t>
      </w:r>
      <w:r>
        <w:t xml:space="preserve"> </w:t>
      </w:r>
      <w:r>
        <w:rPr>
          <w:b/>
          <w:bCs/>
        </w:rPr>
        <w:t xml:space="preserve">89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Costa Rica received a score of 89.8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Costa Rica received a score of 81.2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Costa Rica received a score of 95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Costa Rica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Costa Rica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Costa Rica received a score of 0.7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Costa Rica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Costa Rica received a score of 0.9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Costa Rica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Costa Rica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Costa Rica received a score of 1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Costa Rica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Costa Rica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Costa Rica received a score of 0.4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Costa Rica received a score of 0.9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Costa Rica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2000,2011,2022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1981, 1986, 1987, 1988, 1989, 1990, 1991, 1992, 1993, 1994, 1995, 1996, 1997, 1998, 1999, 2000, 2001, 2002, 2003, 2004, 2005, 2006, 2007, 2008, 2009, 2010, 2011, 2012, 2013, 2014, 2015, 2016, 2017, 2018, 2019, 2020, 2021, 2022, 2023, 2024</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2017, 2018, 2019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1992, 2009, 2011, 2018</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2010, 2011, 2015, 2016, 2017, 2023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Costa Rica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2025-11-25T02:20:33Z</dcterms:created>
  <dcterms:modified xsi:type="dcterms:W3CDTF">2025-11-25T02:20:33Z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Costa Rica Country Report</vt:lpwstr>
  </property>
  <property fmtid="{D5CDD505-2E9C-101B-9397-08002B2CF9AE}" pid="10" name="toc-title">
    <vt:lpwstr>Table of contents</vt:lpwstr>
  </property>
</Properties>
</file>