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Equatorial Guinea Country Report</w:t>
      </w:r>
    </w:p>
    <w:bookmarkStart w:id="75" w:name="introduction"/>
    <w:p>
      <w:pPr>
        <w:pStyle w:val="Heading1"/>
      </w:pPr>
      <w:r>
        <w:t xml:space="preserve">Introduction</w:t>
      </w:r>
    </w:p>
    <w:p>
      <w:pPr>
        <w:pStyle w:val="FirstParagraph"/>
      </w:pPr>
      <w:r>
        <w:t xml:space="preserve">Equatorial Guinea received a score of 32.1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Equatorial Guinea received a score of 10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Equatorial Guinea received a score of</w:t>
      </w:r>
      <w:r>
        <w:t xml:space="preserve"> </w:t>
      </w:r>
      <w:r>
        <w:rPr>
          <w:b/>
          <w:bCs/>
        </w:rPr>
        <w:t xml:space="preserve">29.6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Equatorial Guinea received a score of 60.4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Equatorial Guinea received a score of 25.7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Equatorial Guinea received a score of 35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Equatorial Guinea received a score of 0.1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Equatorial Guinea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Equatorial Guinea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Equatorial Guinea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Equatorial Guinea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Equatorial Guinea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Equatorial Guinea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Equatorial Guinea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Equatorial Guinea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Equatorial Guinea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Equatorial Guinea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Equatorial Guinea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Equatorial Guinea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2002,2015</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2006, 2019, 2022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2000, 2011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Equatorial Guinea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2025-11-25T05:09:39Z</dcterms:created>
  <dcterms:modified xsi:type="dcterms:W3CDTF">2025-11-25T05:09:39Z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Equatorial Guinea Country Report</vt:lpwstr>
  </property>
  <property fmtid="{D5CDD505-2E9C-101B-9397-08002B2CF9AE}" pid="10" name="toc-title">
    <vt:lpwstr>Table of contents</vt:lpwstr>
  </property>
</Properties>
</file>