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Guam Country Report</w:t>
      </w:r>
    </w:p>
    <w:bookmarkStart w:id="75" w:name="introduction"/>
    <w:p>
      <w:pPr>
        <w:pStyle w:val="Heading1"/>
      </w:pPr>
      <w:r>
        <w:t xml:space="preserve">Introduction</w:t>
      </w:r>
    </w:p>
    <w:p>
      <w:pPr>
        <w:pStyle w:val="FirstParagraph"/>
      </w:pPr>
      <w:r>
        <w:t xml:space="preserve">Guam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Guam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Guam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Guam received a score of 25.6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Guam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Guam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Guam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Guam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Guam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Guam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Guam received a score of 0.1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Guam received a score of 0.4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Guam received a score of 0.2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Guam received a score of 0.3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Guam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Guam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Guam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Guam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Guam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Guam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2025-11-25T07:24:05Z</dcterms:created>
  <dcterms:modified xsi:type="dcterms:W3CDTF">2025-11-25T07:24:05Z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Guam Country Report</vt:lpwstr>
  </property>
  <property fmtid="{D5CDD505-2E9C-101B-9397-08002B2CF9AE}" pid="10" name="toc-title">
    <vt:lpwstr>Table of contents</vt:lpwstr>
  </property>
</Properties>
</file>