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Guinea-Bissau Country Report</w:t>
      </w:r>
    </w:p>
    <w:bookmarkStart w:id="75" w:name="introduction"/>
    <w:p>
      <w:pPr>
        <w:pStyle w:val="Heading1"/>
      </w:pPr>
      <w:r>
        <w:t xml:space="preserve">Introduction</w:t>
      </w:r>
    </w:p>
    <w:p>
      <w:pPr>
        <w:pStyle w:val="FirstParagraph"/>
      </w:pPr>
      <w:r>
        <w:t xml:space="preserve">Guinea-Bissau received a score of 47.5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Guinea-Bissau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Guinea-Bissau received a score of</w:t>
      </w:r>
      <w:r>
        <w:t xml:space="preserve"> </w:t>
      </w:r>
      <w:r>
        <w:rPr>
          <w:b/>
          <w:bCs/>
        </w:rPr>
        <w:t xml:space="preserve">29.5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Guinea-Bissau received a score of 58.2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Guinea-Bissau received a score of 19.9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Guinea-Bissau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Guinea-Bissau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Guinea-Bissau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Guinea-Bissau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Guinea-Bissau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Guinea-Bissau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Guinea-Bissau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Guinea-Bissau received a score of 0.4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Guinea-Bissau received a score of 0.5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Guinea-Bissau received a score of 0.2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Guinea-Bissau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Guinea-Bissau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Guinea-Bissau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Guinea-Bissau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1991, 1993, 2002, 2010, 2018, 2021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 -99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1996, 2002, 2006, 2010, 2014, 2018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Guinea-Bissau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ISIC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2025-11-25T05:08:37Z</dcterms:created>
  <dcterms:modified xsi:type="dcterms:W3CDTF">2025-11-25T05:08:37Z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Guinea-Bissau Country Report</vt:lpwstr>
  </property>
  <property fmtid="{D5CDD505-2E9C-101B-9397-08002B2CF9AE}" pid="10" name="toc-title">
    <vt:lpwstr>Table of contents</vt:lpwstr>
  </property>
</Properties>
</file>