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Guyana Country Report</w:t>
      </w:r>
    </w:p>
    <w:bookmarkStart w:id="75" w:name="introduction"/>
    <w:p>
      <w:pPr>
        <w:pStyle w:val="Heading1"/>
      </w:pPr>
      <w:r>
        <w:t xml:space="preserve">Introduction</w:t>
      </w:r>
    </w:p>
    <w:p>
      <w:pPr>
        <w:pStyle w:val="FirstParagraph"/>
      </w:pPr>
      <w:r>
        <w:t xml:space="preserve">Guyana received a score of 54.1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Guyana received a score of 60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Guyana received a score of</w:t>
      </w:r>
      <w:r>
        <w:t xml:space="preserve"> </w:t>
      </w:r>
      <w:r>
        <w:rPr>
          <w:b/>
          <w:bCs/>
        </w:rPr>
        <w:t xml:space="preserve">66.8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Guyana received a score of 64.8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Guyana received a score of 33.7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Guyana received a score of 45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Guyana received a score of 0.6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Guyana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Guyana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Guyana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Guyana received a score of 0.6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Guyana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Guyana received a score of 0.4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Guyana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Guyana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Guyana received a score of 0.5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Guyana received a score of 0.1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Guyana received a score of 0.4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Guyana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2002,2012,2022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1992, 1993, 1998, 2018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2017, 2018, 2019</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2000, 2004, 2005, 2006, 2009, 2010, 2014, 2019</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617"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Guyana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2012</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rev4</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2001</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2025-11-25T02:31:13Z</dcterms:created>
  <dcterms:modified xsi:type="dcterms:W3CDTF">2025-11-25T02:31:13Z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Guyana Country Report</vt:lpwstr>
  </property>
  <property fmtid="{D5CDD505-2E9C-101B-9397-08002B2CF9AE}" pid="10" name="toc-title">
    <vt:lpwstr>Table of contents</vt:lpwstr>
  </property>
</Properties>
</file>