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Hong Kong SAR, China Country Report</w:t>
      </w:r>
    </w:p>
    <w:bookmarkStart w:id="75" w:name="introduction"/>
    <w:p>
      <w:pPr>
        <w:pStyle w:val="Heading1"/>
      </w:pPr>
      <w:r>
        <w:t xml:space="preserve">Introduction</w:t>
      </w:r>
    </w:p>
    <w:p>
      <w:pPr>
        <w:pStyle w:val="FirstParagraph"/>
      </w:pPr>
      <w:r>
        <w:t xml:space="preserve">Hong Kong SAR, China received a score of NA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Hong Kong SAR, China received a score of 40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Hong Kong SAR, China received a score of</w:t>
      </w:r>
      <w:r>
        <w:t xml:space="preserve"> </w:t>
      </w:r>
      <w:r>
        <w:rPr>
          <w:b/>
          <w:bCs/>
        </w:rPr>
        <w:t xml:space="preserve">NA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Hong Kong SAR, China received a score of 48.3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Hong Kong SAR, China received a score of NA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Hong Kong SAR, China received a score of NA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Hong Kong SAR, China received a score of 0.4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Hong Kong SAR, China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Hong Kong SAR, China received a score of 0.9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Hong Kong SAR, China received a score of NA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Hong Kong SAR, China received a score of 0.3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Hong Kong SAR, China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Hong Kong SAR, China received a score of 0.3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Hong Kong SAR, China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Hong Kong SAR, China received a score of NA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Hong Kong SAR, China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Hong Kong SAR, China received a score of 0.8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Hong Kong SAR, China received a score of NA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Hong Kong SAR, China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Hong Kong SAR, China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2025-11-25T07:25:15Z</dcterms:created>
  <dcterms:modified xsi:type="dcterms:W3CDTF">2025-11-25T07:25:15Z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Hong Kong SAR, China Country Report</vt:lpwstr>
  </property>
  <property fmtid="{D5CDD505-2E9C-101B-9397-08002B2CF9AE}" pid="10" name="toc-title">
    <vt:lpwstr>Table of contents</vt:lpwstr>
  </property>
</Properties>
</file>