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Kazakhstan Country Report</w:t>
      </w:r>
    </w:p>
    <w:bookmarkStart w:id="75" w:name="introduction"/>
    <w:p>
      <w:pPr>
        <w:pStyle w:val="Heading1"/>
      </w:pPr>
      <w:r>
        <w:t xml:space="preserve">Introduction</w:t>
      </w:r>
    </w:p>
    <w:p>
      <w:pPr>
        <w:pStyle w:val="FirstParagraph"/>
      </w:pPr>
      <w:r>
        <w:t xml:space="preserve">Kazakhstan received a score of 84.9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Kazakhstan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Kazakhstan received a score of</w:t>
      </w:r>
      <w:r>
        <w:t xml:space="preserve"> </w:t>
      </w:r>
      <w:r>
        <w:rPr>
          <w:b/>
          <w:bCs/>
        </w:rPr>
        <w:t xml:space="preserve">90.1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Kazakhstan received a score of 79.2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Kazakhstan received a score of 80.2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Kazakhstan received a score of 75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Kazakhstan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Kazakhstan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Kazakhstan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Kazakhstan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Kazakhstan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Kazakhstan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Kazakhstan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Kazakhstan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Kazakhstan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Kazakhstan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Kazakhstan received a score of 0.7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Kazakhstan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Kazakhstan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1988, 1990, 1993, 1996, 2001, 2002, 2003, 2004, 2005, 2006, 2007, 2008, 2009, 2010, 2011, 2012, 2013, 2014, 2015, 2016, 2017, 2018, 2019, 2020, 2021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2008, 2009, 2010, 2011, 2012, 2013, 2017, 2018, 2019, 2020, 2021, 2022, 2023, 2024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1995, 1999, 2003, 2006, 2010, 2015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2012, 2019, 2021,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Kazakhstan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nace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2025-11-25T06:45:57Z</dcterms:created>
  <dcterms:modified xsi:type="dcterms:W3CDTF">2025-11-25T06:45:57Z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Kazakhstan Country Report</vt:lpwstr>
  </property>
  <property fmtid="{D5CDD505-2E9C-101B-9397-08002B2CF9AE}" pid="10" name="toc-title">
    <vt:lpwstr>Table of contents</vt:lpwstr>
  </property>
</Properties>
</file>