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Luxembourg Country Report</w:t>
      </w:r>
    </w:p>
    <w:bookmarkStart w:id="75" w:name="introduction"/>
    <w:p>
      <w:pPr>
        <w:pStyle w:val="Heading1"/>
      </w:pPr>
      <w:r>
        <w:t xml:space="preserve">Introduction</w:t>
      </w:r>
    </w:p>
    <w:p>
      <w:pPr>
        <w:pStyle w:val="FirstParagraph"/>
      </w:pPr>
      <w:r>
        <w:t xml:space="preserve">Luxembourg received a score of 85.8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Luxembourg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Luxembourg received a score of</w:t>
      </w:r>
      <w:r>
        <w:t xml:space="preserve"> </w:t>
      </w:r>
      <w:r>
        <w:rPr>
          <w:b/>
          <w:bCs/>
        </w:rPr>
        <w:t xml:space="preserve">91.5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Luxembourg received a score of 78.3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Luxembourg received a score of 74.2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Luxembourg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Luxembourg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Luxembourg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Luxembourg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Luxembourg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Luxembourg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Luxembourg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Luxembourg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Luxembourg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Luxembourg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Luxembourg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Luxembourg received a score of 0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Luxembourg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Luxembourg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1985, 1986, 1987, 1988, 1989, 1990, 1991, 1992, 1993, 1994, 1995, 1996, 1997, 1998, 1999, 2000, 2001, 2002, 2003, 2004, 2005, 2006, 2007, 2008, 2009, 2010, 2011, 2012, 2013, 2014, 2015, 2016, 2017, 2018, 2019, 2020, 2021, 2022, 2023, 2024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2003, 2014, 2019, 2024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Luxembourg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ESA 2010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2025-11-25T06:50:44Z</dcterms:created>
  <dcterms:modified xsi:type="dcterms:W3CDTF">2025-11-25T06:50:44Z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Luxembourg Country Report</vt:lpwstr>
  </property>
  <property fmtid="{D5CDD505-2E9C-101B-9397-08002B2CF9AE}" pid="10" name="toc-title">
    <vt:lpwstr>Table of contents</vt:lpwstr>
  </property>
</Properties>
</file>