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Monaco Country Report</w:t>
      </w:r>
    </w:p>
    <w:bookmarkStart w:id="75" w:name="introduction"/>
    <w:p>
      <w:pPr>
        <w:pStyle w:val="Heading1"/>
      </w:pPr>
      <w:r>
        <w:t xml:space="preserve">Introduction</w:t>
      </w:r>
    </w:p>
    <w:p>
      <w:pPr>
        <w:pStyle w:val="FirstParagraph"/>
      </w:pPr>
      <w:r>
        <w:t xml:space="preserve">Monaco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Monaco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Monaco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Monaco received a score of 41.1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Monaco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Monaco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Monaco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Monaco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Monaco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Monaco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Monaco received a score of 0.3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Monaco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Monaco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Monaco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Monaco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Monaco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Monaco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Monaco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Monaco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Monaco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2025-11-25T06:52:52Z</dcterms:created>
  <dcterms:modified xsi:type="dcterms:W3CDTF">2025-11-25T06:52:52Z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Monaco Country Report</vt:lpwstr>
  </property>
  <property fmtid="{D5CDD505-2E9C-101B-9397-08002B2CF9AE}" pid="10" name="toc-title">
    <vt:lpwstr>Table of contents</vt:lpwstr>
  </property>
</Properties>
</file>