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Papua New Guinea Country Report</w:t>
      </w:r>
    </w:p>
    <w:bookmarkStart w:id="75" w:name="introduction"/>
    <w:p>
      <w:pPr>
        <w:pStyle w:val="Heading1"/>
      </w:pPr>
      <w:r>
        <w:t xml:space="preserve">Introduction</w:t>
      </w:r>
    </w:p>
    <w:p>
      <w:pPr>
        <w:pStyle w:val="FirstParagraph"/>
      </w:pPr>
      <w:r>
        <w:t xml:space="preserve">Papua New Guinea received a score of 43.6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Papua New Guinea received a score of 50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Papua New Guinea received a score of</w:t>
      </w:r>
      <w:r>
        <w:t xml:space="preserve"> </w:t>
      </w:r>
      <w:r>
        <w:rPr>
          <w:b/>
          <w:bCs/>
        </w:rPr>
        <w:t xml:space="preserve">62.2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Papua New Guinea received a score of 66.4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Papua New Guinea received a score of 14.5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Papua New Guinea received a score of 25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Papua New Guinea received a score of 0.5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Papua New Guinea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Papua New Guinea received a score of 0.4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Papua New Guinea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Papua New Guinea received a score of 0.6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Papua New Guinea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Papua New Guinea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Papua New Guinea received a score of 0.7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Papua New Guinea received a score of 0.2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Papua New Guinea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Papua New Guinea received a score of 0.2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Papua New Guinea received a score of 0.2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5"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Papua New Guinea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2000,2011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1996, 2009</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2020, -99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2016</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2024,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5"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Papua New Guinea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2013</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2025-11-25T07:45:47Z</dcterms:created>
  <dcterms:modified xsi:type="dcterms:W3CDTF">2025-11-25T07:45:47Z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Papua New Guinea Country Report</vt:lpwstr>
  </property>
  <property fmtid="{D5CDD505-2E9C-101B-9397-08002B2CF9AE}" pid="10" name="toc-title">
    <vt:lpwstr>Table of contents</vt:lpwstr>
  </property>
</Properties>
</file>