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Sao Tome and Principe Country Report</w:t>
      </w:r>
    </w:p>
    <w:bookmarkStart w:id="75" w:name="introduction"/>
    <w:p>
      <w:pPr>
        <w:pStyle w:val="Heading1"/>
      </w:pPr>
      <w:r>
        <w:t xml:space="preserve">Introduction</w:t>
      </w:r>
    </w:p>
    <w:p>
      <w:pPr>
        <w:pStyle w:val="FirstParagraph"/>
      </w:pPr>
      <w:r>
        <w:t xml:space="preserve">Sao Tome and Principe received a score of 53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Sao Tome and Principe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Sao Tome and Principe received a score of</w:t>
      </w:r>
      <w:r>
        <w:t xml:space="preserve"> </w:t>
      </w:r>
      <w:r>
        <w:rPr>
          <w:b/>
          <w:bCs/>
        </w:rPr>
        <w:t xml:space="preserve">65.7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Sao Tome and Principe received a score of 55.6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Sao Tome and Principe received a score of 48.6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Sao Tome and Principe received a score of 35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Sao Tome and Principe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Sao Tome and Principe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Sao Tome and Principe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Sao Tome and Principe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Sao Tome and Principe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Sao Tome and Principe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Sao Tome and Principe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Sao Tome and Principe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Sao Tome and Principe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Sao Tome and Principe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Sao Tome and Principe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Sao Tome and Principe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Sao Tome and Principe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1995, 2000, 2010, 2017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1996, 2000, 2006, 2008, 2014, 2019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Sao Tome and Principe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2025-11-25T05:59:31Z</dcterms:created>
  <dcterms:modified xsi:type="dcterms:W3CDTF">2025-11-25T05:59:31Z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Sao Tome and Principe Country Report</vt:lpwstr>
  </property>
  <property fmtid="{D5CDD505-2E9C-101B-9397-08002B2CF9AE}" pid="10" name="toc-title">
    <vt:lpwstr>Table of contents</vt:lpwstr>
  </property>
</Properties>
</file>