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South Sudan Country Report</w:t>
      </w:r>
    </w:p>
    <w:bookmarkStart w:id="75" w:name="introduction"/>
    <w:p>
      <w:pPr>
        <w:pStyle w:val="Heading1"/>
      </w:pPr>
      <w:r>
        <w:t xml:space="preserve">Introduction</w:t>
      </w:r>
    </w:p>
    <w:p>
      <w:pPr>
        <w:pStyle w:val="FirstParagraph"/>
      </w:pPr>
      <w:r>
        <w:t xml:space="preserve">South Sudan received a score of 27.1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South Sudan received a score of 20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South Sudan received a score of</w:t>
      </w:r>
      <w:r>
        <w:t xml:space="preserve"> </w:t>
      </w:r>
      <w:r>
        <w:rPr>
          <w:b/>
          <w:bCs/>
        </w:rPr>
        <w:t xml:space="preserve">8.3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South Sudan received a score of 57.5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South Sudan received a score of 9.7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South Sudan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South Sudan received a score of 0.2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South Sudan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South Sudan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South Sudan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South Sudan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South Sudan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South Sudan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South Sudan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South Sudan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South Sudan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South Sudan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South Sudan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 Sudan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2010, 2014, 2024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 Sudan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2025-11-25T05:58:16Z</dcterms:created>
  <dcterms:modified xsi:type="dcterms:W3CDTF">2025-11-25T05:58:16Z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South Sudan Country Report</vt:lpwstr>
  </property>
  <property fmtid="{D5CDD505-2E9C-101B-9397-08002B2CF9AE}" pid="10" name="toc-title">
    <vt:lpwstr>Table of contents</vt:lpwstr>
  </property>
</Properties>
</file>