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Suriname Country Report</w:t>
      </w:r>
    </w:p>
    <w:bookmarkStart w:id="75" w:name="introduction"/>
    <w:p>
      <w:pPr>
        <w:pStyle w:val="Heading1"/>
      </w:pPr>
      <w:r>
        <w:t xml:space="preserve">Introduction</w:t>
      </w:r>
    </w:p>
    <w:p>
      <w:pPr>
        <w:pStyle w:val="FirstParagraph"/>
      </w:pPr>
      <w:r>
        <w:t xml:space="preserve">Suriname received a score of 58.6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Suriname received a score of 46.6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Suriname received a score of</w:t>
      </w:r>
      <w:r>
        <w:t xml:space="preserve"> </w:t>
      </w:r>
      <w:r>
        <w:rPr>
          <w:b/>
          <w:bCs/>
        </w:rPr>
        <w:t xml:space="preserve">72.6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Suriname received a score of 60.9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Suriname received a score of 58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Suriname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Suriname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Suriname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Suriname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Suriname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Suriname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Suriname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Suriname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Suriname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Suriname received a score of 0.5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Suriname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Suriname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Suriname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Suriname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1999, 2013, 2016, 2022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1999, 2006, 2009, 2010, 2018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2018,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Suriname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2025-11-25T02:48:18Z</dcterms:created>
  <dcterms:modified xsi:type="dcterms:W3CDTF">2025-11-25T02:48:18Z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Suriname Country Report</vt:lpwstr>
  </property>
  <property fmtid="{D5CDD505-2E9C-101B-9397-08002B2CF9AE}" pid="10" name="toc-title">
    <vt:lpwstr>Table of contents</vt:lpwstr>
  </property>
</Properties>
</file>