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Turkmenistan Country Report</w:t>
      </w:r>
    </w:p>
    <w:bookmarkStart w:id="75" w:name="introduction"/>
    <w:p>
      <w:pPr>
        <w:pStyle w:val="Heading1"/>
      </w:pPr>
      <w:r>
        <w:t xml:space="preserve">Introduction</w:t>
      </w:r>
    </w:p>
    <w:p>
      <w:pPr>
        <w:pStyle w:val="FirstParagraph"/>
      </w:pPr>
      <w:r>
        <w:t xml:space="preserve">Turkmenistan received a score of 29.7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Turkmenistan received a score of 60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Turkmenistan received a score of</w:t>
      </w:r>
      <w:r>
        <w:t xml:space="preserve"> </w:t>
      </w:r>
      <w:r>
        <w:rPr>
          <w:b/>
          <w:bCs/>
        </w:rPr>
        <w:t xml:space="preserve">5.3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Turkmenistan received a score of 54.1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Turkmenistan received a score of 13.9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Turkmenistan received a score of 15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Turkmenistan received a score of 0.6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Turkmenistan received a score of 0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Turkmenistan received a score of 0.2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Turkmenistan received a score of 0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Turkmenistan received a score of 0.5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Turkmenistan received a score of 0.6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Turkmenistan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Turkmenistan received a score of 0.5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Turkmenistan received a score of 0.2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Turkmenistan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Turkmenistan received a score of 0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Turkmenistan received a score of 0.1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Turkmenistan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2012,2022</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1988, 1993, 1998, 2003</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1996, 2000, 2006, 2015, 2019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2024,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Turkmenistan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2025-11-25T07:11:45Z</dcterms:created>
  <dcterms:modified xsi:type="dcterms:W3CDTF">2025-11-25T07:11:45Z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Turkmenistan Country Report</vt:lpwstr>
  </property>
  <property fmtid="{D5CDD505-2E9C-101B-9397-08002B2CF9AE}" pid="10" name="toc-title">
    <vt:lpwstr>Table of contents</vt:lpwstr>
  </property>
</Properties>
</file>