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rawings/drawing1.xml" ContentType="application/vnd.openxmlformats-officedocument.drawingml.chartshapes+xml"/>
  <Override PartName="/word/drawings/drawing2.xml" ContentType="application/vnd.openxmlformats-officedocument.drawingml.chartshapes+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8.xml" ContentType="application/vnd.openxmlformats-officedocument.drawingml.chart+xml"/>
  <Override PartName="/word/charts/chart9.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1.xml" ContentType="application/vnd.openxmlformats-officedocument.theme+xml"/>
  <Override PartName="/word/charts/style1.xml" ContentType="application/vnd.ms-office.chartstyle+xml"/>
  <Override PartName="/word/theme/themeOverride2.xml" ContentType="application/vnd.openxmlformats-officedocument.themeOverride+xml"/>
  <Override PartName="/word/charts/chart2.xml" ContentType="application/vnd.openxmlformats-officedocument.drawingml.chart+xml"/>
  <Override PartName="/word/theme/themeOverride1.xml" ContentType="application/vnd.openxmlformats-officedocument.themeOverride+xml"/>
  <Override PartName="/word/charts/chart1.xml" ContentType="application/vnd.openxmlformats-officedocument.drawingml.chart+xml"/>
  <Override PartName="/word/charts/chart3.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charts/colors1.xml" ContentType="application/vnd.ms-office.chartcolorstyle+xml"/>
  <Override PartName="/word/charts/chart4.xml" ContentType="application/vnd.openxmlformats-officedocument.drawingml.chart+xml"/>
  <Override PartName="/word/theme/themeOverride4.xml" ContentType="application/vnd.openxmlformats-officedocument.themeOverrid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Garamond" w:eastAsia="Calibri" w:hAnsi="Garamond" w:cs="Arial"/>
          <w:b w:val="0"/>
          <w:color w:val="auto"/>
          <w:sz w:val="22"/>
          <w:szCs w:val="20"/>
          <w:rtl/>
          <w:lang w:bidi="ar-SA"/>
        </w:rPr>
        <w:id w:val="-1393732700"/>
        <w:docPartObj>
          <w:docPartGallery w:val="Table of Contents"/>
          <w:docPartUnique/>
        </w:docPartObj>
      </w:sdtPr>
      <w:sdtEndPr>
        <w:rPr>
          <w:bCs/>
          <w:noProof/>
          <w:rtl w:val="0"/>
        </w:rPr>
      </w:sdtEndPr>
      <w:sdtContent>
        <w:p w:rsidR="004504AC" w:rsidRPr="004504AC" w:rsidRDefault="004504AC" w:rsidP="00862183">
          <w:pPr>
            <w:pStyle w:val="TOCHeading"/>
            <w:jc w:val="center"/>
            <w:rPr>
              <w:rFonts w:ascii="Garamond" w:hAnsi="Garamond"/>
            </w:rPr>
          </w:pPr>
          <w:r w:rsidRPr="004504AC">
            <w:rPr>
              <w:rFonts w:ascii="Garamond" w:hAnsi="Garamond"/>
            </w:rPr>
            <w:t>Table of Contents</w:t>
          </w:r>
        </w:p>
        <w:p w:rsidR="004F0155" w:rsidRPr="00862183" w:rsidRDefault="004504AC" w:rsidP="00B01D5C">
          <w:pPr>
            <w:pStyle w:val="TOC1"/>
            <w:bidi w:val="0"/>
            <w:spacing w:line="240" w:lineRule="auto"/>
            <w:jc w:val="left"/>
            <w:rPr>
              <w:rFonts w:ascii="Garamond" w:eastAsiaTheme="minorEastAsia" w:hAnsi="Garamond" w:cstheme="minorBidi"/>
              <w:noProof/>
              <w:color w:val="auto"/>
              <w:kern w:val="0"/>
              <w:lang w:bidi="ar-SA"/>
            </w:rPr>
          </w:pPr>
          <w:r w:rsidRPr="004F0155">
            <w:rPr>
              <w:rFonts w:ascii="Garamond" w:hAnsi="Garamond"/>
            </w:rPr>
            <w:fldChar w:fldCharType="begin"/>
          </w:r>
          <w:r w:rsidRPr="004F0155">
            <w:rPr>
              <w:rFonts w:ascii="Garamond" w:hAnsi="Garamond"/>
            </w:rPr>
            <w:instrText xml:space="preserve"> TOC \o "1-3" \h \z \u </w:instrText>
          </w:r>
          <w:r w:rsidRPr="004F0155">
            <w:rPr>
              <w:rFonts w:ascii="Garamond" w:hAnsi="Garamond"/>
            </w:rPr>
            <w:fldChar w:fldCharType="separate"/>
          </w:r>
          <w:hyperlink w:anchor="_Toc535750181" w:history="1">
            <w:r w:rsidR="004F0155" w:rsidRPr="00862183">
              <w:rPr>
                <w:rStyle w:val="Hyperlink"/>
                <w:rFonts w:ascii="Garamond" w:eastAsia="Arial" w:hAnsi="Garamond"/>
                <w:noProof/>
              </w:rPr>
              <w:t>Budget Strategy and Outlook</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_Toc535750181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82" w:history="1">
            <w:r w:rsidR="004F0155" w:rsidRPr="00862183">
              <w:rPr>
                <w:rStyle w:val="Hyperlink"/>
                <w:rFonts w:ascii="Garamond" w:eastAsia="Arial" w:hAnsi="Garamond"/>
                <w:noProof/>
              </w:rPr>
              <w:t>Budget Overview</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_Toc535750182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83" w:history="1">
            <w:r w:rsidR="004F0155" w:rsidRPr="00862183">
              <w:rPr>
                <w:rStyle w:val="Hyperlink"/>
                <w:rFonts w:ascii="Garamond" w:eastAsia="Garamond" w:hAnsi="Garamond"/>
                <w:noProof/>
              </w:rPr>
              <w:t>Budget Outlook</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_Toc535750183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84" w:history="1">
            <w:r w:rsidR="004F0155" w:rsidRPr="00862183">
              <w:rPr>
                <w:rStyle w:val="Hyperlink"/>
                <w:rFonts w:ascii="Garamond" w:eastAsia="Corbel" w:hAnsi="Garamond"/>
                <w:noProof/>
              </w:rPr>
              <w:t>Economic Outlook</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_Toc535750184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5</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85" w:history="1">
            <w:r w:rsidR="004F0155" w:rsidRPr="00862183">
              <w:rPr>
                <w:rStyle w:val="Hyperlink"/>
                <w:rFonts w:ascii="Garamond" w:eastAsia="Garamond" w:hAnsi="Garamond"/>
                <w:noProof/>
              </w:rPr>
              <w:t>Inflation</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_Toc535750185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6</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86" w:history="1">
            <w:r w:rsidR="004F0155" w:rsidRPr="00862183">
              <w:rPr>
                <w:rStyle w:val="Hyperlink"/>
                <w:rFonts w:ascii="Garamond" w:hAnsi="Garamond"/>
                <w:noProof/>
              </w:rPr>
              <w:t>Exchange Rate (AFS against USD)</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_Toc535750186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7</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87" w:history="1">
            <w:r w:rsidR="004F0155" w:rsidRPr="00862183">
              <w:rPr>
                <w:rStyle w:val="Hyperlink"/>
                <w:rFonts w:ascii="Garamond" w:hAnsi="Garamond"/>
                <w:noProof/>
              </w:rPr>
              <w:t>Outlook for the Domestic Economy</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_Toc535750187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8</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88" w:history="1">
            <w:r w:rsidR="004F0155" w:rsidRPr="00862183">
              <w:rPr>
                <w:rStyle w:val="Hyperlink"/>
                <w:rFonts w:ascii="Garamond" w:hAnsi="Garamond"/>
                <w:noProof/>
              </w:rPr>
              <w:t>Outlook for the International Economy</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_Toc535750188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9</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89" w:history="1">
            <w:r w:rsidR="004F0155" w:rsidRPr="00862183">
              <w:rPr>
                <w:rStyle w:val="Hyperlink"/>
                <w:rFonts w:ascii="Garamond" w:hAnsi="Garamond"/>
                <w:noProof/>
                <w:lang w:val="en-GB"/>
              </w:rPr>
              <w:t>Economic Outlook for the Region</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_Toc535750189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9</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90" w:history="1">
            <w:r w:rsidR="004F0155" w:rsidRPr="00862183">
              <w:rPr>
                <w:rStyle w:val="Hyperlink"/>
                <w:rFonts w:ascii="Garamond" w:eastAsia="Corbel" w:hAnsi="Garamond"/>
                <w:noProof/>
              </w:rPr>
              <w:t>Fiscal outlook and Strategy</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_Toc535750190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11</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91" w:history="1">
            <w:r w:rsidR="004F0155" w:rsidRPr="00862183">
              <w:rPr>
                <w:rStyle w:val="Hyperlink"/>
                <w:rFonts w:ascii="Garamond" w:eastAsia="Corbel" w:hAnsi="Garamond"/>
                <w:noProof/>
              </w:rPr>
              <w:t>Fiscal Strategy</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_Toc535750191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11</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92" w:history="1">
            <w:r w:rsidR="004F0155" w:rsidRPr="00862183">
              <w:rPr>
                <w:rStyle w:val="Hyperlink"/>
                <w:rFonts w:ascii="Garamond" w:eastAsia="Corbel" w:hAnsi="Garamond"/>
                <w:noProof/>
              </w:rPr>
              <w:t>Economic and Fiscal Goals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_Toc535750192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11</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93" w:history="1">
            <w:r w:rsidR="004F0155" w:rsidRPr="00862183">
              <w:rPr>
                <w:rStyle w:val="Hyperlink"/>
                <w:rFonts w:ascii="Garamond" w:hAnsi="Garamond"/>
                <w:noProof/>
              </w:rPr>
              <w:t>Medium Term Expenditure Framework and Forward Estimates for 1398-1401</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_Toc535750193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12</w:t>
            </w:r>
            <w:r w:rsidR="004F0155" w:rsidRPr="00862183">
              <w:rPr>
                <w:rFonts w:ascii="Garamond" w:hAnsi="Garamond"/>
                <w:noProof/>
                <w:webHidden/>
              </w:rPr>
              <w:fldChar w:fldCharType="end"/>
            </w:r>
          </w:hyperlink>
        </w:p>
        <w:p w:rsidR="004F0155" w:rsidRPr="00862183" w:rsidRDefault="00CA0901" w:rsidP="00B01D5C">
          <w:pPr>
            <w:pStyle w:val="TOC1"/>
            <w:bidi w:val="0"/>
            <w:spacing w:line="240" w:lineRule="auto"/>
            <w:jc w:val="left"/>
            <w:rPr>
              <w:rFonts w:ascii="Garamond" w:eastAsiaTheme="minorEastAsia" w:hAnsi="Garamond" w:cstheme="minorBidi"/>
              <w:noProof/>
              <w:color w:val="auto"/>
              <w:kern w:val="0"/>
              <w:lang w:bidi="ar-SA"/>
            </w:rPr>
          </w:pPr>
          <w:hyperlink w:anchor="_Toc535750194" w:history="1">
            <w:r w:rsidR="004F0155" w:rsidRPr="00862183">
              <w:rPr>
                <w:rStyle w:val="Hyperlink"/>
                <w:rFonts w:ascii="Garamond" w:eastAsia="Corbel" w:hAnsi="Garamond"/>
                <w:noProof/>
              </w:rPr>
              <w:t>Fiscal Framework and Budget Reform</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_Toc535750194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14</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95" w:history="1">
            <w:r w:rsidR="004F0155" w:rsidRPr="00862183">
              <w:rPr>
                <w:rStyle w:val="Hyperlink"/>
                <w:rFonts w:ascii="Garamond" w:eastAsia="Corbel" w:hAnsi="Garamond"/>
                <w:noProof/>
              </w:rPr>
              <w:t>Medium-term expenditure framework and rolling forward estimates (1398-1401)</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_Toc535750195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14</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96" w:history="1">
            <w:r w:rsidR="004F0155" w:rsidRPr="00862183">
              <w:rPr>
                <w:rStyle w:val="Hyperlink"/>
                <w:rFonts w:ascii="Garamond" w:eastAsia="Corbel" w:hAnsi="Garamond"/>
                <w:noProof/>
              </w:rPr>
              <w:t>Transfer of Fund from contingency code to the relevant departments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_Toc535750196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14</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97" w:history="1">
            <w:r w:rsidR="004F0155" w:rsidRPr="00862183">
              <w:rPr>
                <w:rStyle w:val="Hyperlink"/>
                <w:rFonts w:ascii="Garamond" w:eastAsia="Corbel" w:hAnsi="Garamond"/>
                <w:noProof/>
              </w:rPr>
              <w:t>Change in the Structure of the Sectors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_Toc535750197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14</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98" w:history="1">
            <w:r w:rsidR="004F0155" w:rsidRPr="00862183">
              <w:rPr>
                <w:rStyle w:val="Hyperlink"/>
                <w:rFonts w:ascii="Garamond" w:eastAsia="Corbel" w:hAnsi="Garamond"/>
                <w:noProof/>
              </w:rPr>
              <w:t>Gender Responsive Budgeting (GRB)</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_Toc535750198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17</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199" w:history="1">
            <w:r w:rsidR="004F0155" w:rsidRPr="00862183">
              <w:rPr>
                <w:rStyle w:val="Hyperlink"/>
                <w:rFonts w:ascii="Garamond" w:eastAsia="Corbel" w:hAnsi="Garamond"/>
                <w:noProof/>
              </w:rPr>
              <w:t>Addressing the Gender issue in 1398 Budget</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_Toc535750199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18</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00" w:history="1">
            <w:r w:rsidR="004F0155" w:rsidRPr="00862183">
              <w:rPr>
                <w:rStyle w:val="Hyperlink"/>
                <w:rFonts w:ascii="Garamond" w:eastAsia="Corbel" w:hAnsi="Garamond"/>
                <w:noProof/>
              </w:rPr>
              <w:t>Future Plans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_Toc535750200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18</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01" w:history="1">
            <w:r w:rsidR="004F0155" w:rsidRPr="00862183">
              <w:rPr>
                <w:rStyle w:val="Hyperlink"/>
                <w:rFonts w:ascii="Garamond" w:eastAsia="Corbel" w:hAnsi="Garamond"/>
                <w:noProof/>
              </w:rPr>
              <w:t>Recapitalization of Central Bank (DAB)</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_Toc535750201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19</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02" w:history="1">
            <w:r w:rsidR="004F0155" w:rsidRPr="00862183">
              <w:rPr>
                <w:rStyle w:val="Hyperlink"/>
                <w:rFonts w:ascii="Garamond" w:eastAsia="Corbel" w:hAnsi="Garamond"/>
                <w:noProof/>
              </w:rPr>
              <w:t>Next Steps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_Toc535750202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19</w:t>
            </w:r>
            <w:r w:rsidR="004F0155" w:rsidRPr="00862183">
              <w:rPr>
                <w:rFonts w:ascii="Garamond" w:hAnsi="Garamond"/>
                <w:noProof/>
                <w:webHidden/>
              </w:rPr>
              <w:fldChar w:fldCharType="end"/>
            </w:r>
          </w:hyperlink>
        </w:p>
        <w:p w:rsidR="004F0155" w:rsidRPr="00862183" w:rsidRDefault="00CA0901" w:rsidP="00B01D5C">
          <w:pPr>
            <w:pStyle w:val="TOC1"/>
            <w:bidi w:val="0"/>
            <w:spacing w:line="240" w:lineRule="auto"/>
            <w:jc w:val="left"/>
            <w:rPr>
              <w:rFonts w:ascii="Garamond" w:eastAsiaTheme="minorEastAsia" w:hAnsi="Garamond" w:cstheme="minorBidi"/>
              <w:noProof/>
              <w:color w:val="auto"/>
              <w:kern w:val="0"/>
              <w:lang w:bidi="ar-SA"/>
            </w:rPr>
          </w:pPr>
          <w:hyperlink w:anchor="_Toc535750203" w:history="1">
            <w:r w:rsidR="004F0155" w:rsidRPr="00862183">
              <w:rPr>
                <w:rStyle w:val="Hyperlink"/>
                <w:rFonts w:ascii="Garamond" w:eastAsia="Corbel" w:hAnsi="Garamond"/>
                <w:noProof/>
              </w:rPr>
              <w:t>Consolidated Budget of 1398</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_Toc535750203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19</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04" w:history="1">
            <w:r w:rsidR="004F0155" w:rsidRPr="00862183">
              <w:rPr>
                <w:rStyle w:val="Hyperlink"/>
                <w:rFonts w:ascii="Garamond" w:hAnsi="Garamond"/>
                <w:noProof/>
              </w:rPr>
              <w:t>Operating Budget</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_Toc535750204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24</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05" w:history="1">
            <w:r w:rsidR="004F0155" w:rsidRPr="00862183">
              <w:rPr>
                <w:rStyle w:val="Hyperlink"/>
                <w:rFonts w:ascii="Garamond" w:hAnsi="Garamond"/>
                <w:noProof/>
              </w:rPr>
              <w:t>Development Budget</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_Toc535750205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24</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06" w:history="1">
            <w:r w:rsidR="004F0155" w:rsidRPr="00862183">
              <w:rPr>
                <w:rStyle w:val="Hyperlink"/>
                <w:rFonts w:ascii="Garamond" w:hAnsi="Garamond"/>
                <w:noProof/>
              </w:rPr>
              <w:t>New Key Development Activities in FY 1398 Budget</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_Toc535750206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24</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07" w:history="1">
            <w:r w:rsidR="004F0155" w:rsidRPr="00862183">
              <w:rPr>
                <w:rStyle w:val="Hyperlink"/>
                <w:rFonts w:ascii="Garamond" w:hAnsi="Garamond"/>
                <w:noProof/>
              </w:rPr>
              <w:t>1398 Mid-Year Review Budget</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_Toc535750207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27</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08" w:history="1">
            <w:r w:rsidR="004F0155" w:rsidRPr="00862183">
              <w:rPr>
                <w:rStyle w:val="Hyperlink"/>
                <w:rFonts w:ascii="Garamond" w:hAnsi="Garamond"/>
                <w:noProof/>
              </w:rPr>
              <w:t>Receipts and Aid (Revenue)</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_Toc535750208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27</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09" w:history="1">
            <w:r w:rsidR="004F0155" w:rsidRPr="00862183">
              <w:rPr>
                <w:rStyle w:val="Hyperlink"/>
                <w:rFonts w:ascii="Garamond" w:hAnsi="Garamond"/>
                <w:noProof/>
              </w:rPr>
              <w:t>Revenue Outlook (1396-1401)</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_Toc535750209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28</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10" w:history="1">
            <w:r w:rsidR="004F0155" w:rsidRPr="00862183">
              <w:rPr>
                <w:rStyle w:val="Hyperlink"/>
                <w:rFonts w:ascii="Garamond" w:hAnsi="Garamond"/>
                <w:noProof/>
              </w:rPr>
              <w:t>Domestic Revenue Outlook</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_Toc535750210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28</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11" w:history="1">
            <w:r w:rsidR="004F0155" w:rsidRPr="00862183">
              <w:rPr>
                <w:rStyle w:val="Hyperlink"/>
                <w:rFonts w:ascii="Garamond" w:hAnsi="Garamond"/>
                <w:noProof/>
              </w:rPr>
              <w:t>Value Added Tax Forecast</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_Toc535750211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30</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12" w:history="1">
            <w:r w:rsidR="004F0155" w:rsidRPr="00862183">
              <w:rPr>
                <w:rStyle w:val="Hyperlink"/>
                <w:rFonts w:ascii="Garamond" w:hAnsi="Garamond"/>
                <w:noProof/>
              </w:rPr>
              <w:t xml:space="preserve">Revenue Outlook for Foreign Aid </w:t>
            </w:r>
            <w:r w:rsidR="004F0155" w:rsidRPr="00862183">
              <w:rPr>
                <w:rStyle w:val="Hyperlink"/>
                <w:rFonts w:ascii="Garamond" w:hAnsi="Garamond" w:cs="Times New Roman"/>
                <w:noProof/>
              </w:rPr>
              <w:t>–</w:t>
            </w:r>
            <w:r w:rsidR="004F0155" w:rsidRPr="00862183">
              <w:rPr>
                <w:rStyle w:val="Hyperlink"/>
                <w:rFonts w:ascii="Garamond" w:hAnsi="Garamond"/>
                <w:noProof/>
              </w:rPr>
              <w:t xml:space="preserve"> 1398 to 1401</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_Toc535750212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30</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13" w:history="1">
            <w:r w:rsidR="004F0155" w:rsidRPr="00862183">
              <w:rPr>
                <w:rStyle w:val="Hyperlink"/>
                <w:rFonts w:ascii="Garamond" w:hAnsi="Garamond"/>
                <w:noProof/>
              </w:rPr>
              <w:t>Operating Budget Aids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_Toc535750213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30</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14" w:history="1">
            <w:r w:rsidR="004F0155" w:rsidRPr="00862183">
              <w:rPr>
                <w:rStyle w:val="Hyperlink"/>
                <w:rFonts w:ascii="Garamond" w:hAnsi="Garamond"/>
                <w:noProof/>
              </w:rPr>
              <w:t xml:space="preserve">Discretionary Grants in Development Budget </w:t>
            </w:r>
            <w:r w:rsidR="004F0155" w:rsidRPr="00862183">
              <w:rPr>
                <w:rStyle w:val="Hyperlink"/>
                <w:rFonts w:ascii="Garamond" w:hAnsi="Garamond" w:cs="Times New Roman"/>
                <w:noProof/>
              </w:rPr>
              <w:t>–</w:t>
            </w:r>
            <w:r w:rsidR="004F0155" w:rsidRPr="00862183">
              <w:rPr>
                <w:rStyle w:val="Hyperlink"/>
                <w:rFonts w:ascii="Garamond" w:hAnsi="Garamond"/>
                <w:noProof/>
              </w:rPr>
              <w:t xml:space="preserve"> 1398 to 1401</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_Toc535750214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31</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15" w:history="1">
            <w:r w:rsidR="004F0155" w:rsidRPr="00862183">
              <w:rPr>
                <w:rStyle w:val="Hyperlink"/>
                <w:rFonts w:ascii="Garamond" w:hAnsi="Garamond"/>
                <w:noProof/>
                <w:lang w:bidi="ps-AF"/>
              </w:rPr>
              <w:t>Non-Discretionary Grants Including Loans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_Toc535750215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31</w:t>
            </w:r>
            <w:r w:rsidR="004F0155" w:rsidRPr="00862183">
              <w:rPr>
                <w:rFonts w:ascii="Garamond" w:hAnsi="Garamond"/>
                <w:noProof/>
                <w:webHidden/>
              </w:rPr>
              <w:fldChar w:fldCharType="end"/>
            </w:r>
          </w:hyperlink>
        </w:p>
        <w:p w:rsidR="004F0155" w:rsidRPr="00862183" w:rsidRDefault="00CA0901" w:rsidP="00B01D5C">
          <w:pPr>
            <w:pStyle w:val="TOC1"/>
            <w:bidi w:val="0"/>
            <w:spacing w:line="240" w:lineRule="auto"/>
            <w:jc w:val="left"/>
            <w:rPr>
              <w:rFonts w:ascii="Garamond" w:eastAsiaTheme="minorEastAsia" w:hAnsi="Garamond" w:cstheme="minorBidi"/>
              <w:noProof/>
              <w:color w:val="auto"/>
              <w:kern w:val="0"/>
              <w:lang w:bidi="ar-SA"/>
            </w:rPr>
          </w:pPr>
          <w:hyperlink w:anchor="_Toc535750216" w:history="1">
            <w:r w:rsidR="004F0155" w:rsidRPr="00862183">
              <w:rPr>
                <w:rStyle w:val="Hyperlink"/>
                <w:rFonts w:ascii="Garamond" w:hAnsi="Garamond"/>
                <w:noProof/>
              </w:rPr>
              <w:t>GOVERNMENT EXPENDITURE BY FUNCTIONAL CLASSIFICATION</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_Toc535750216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34</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17" w:history="1">
            <w:r w:rsidR="004F0155" w:rsidRPr="00862183">
              <w:rPr>
                <w:rStyle w:val="Hyperlink"/>
                <w:rFonts w:ascii="Garamond" w:hAnsi="Garamond"/>
                <w:noProof/>
              </w:rPr>
              <w:t>SUMMARY OF OUTLAYS BY FUNCTION</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_Toc535750217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34</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18" w:history="1">
            <w:r w:rsidR="004F0155" w:rsidRPr="00862183">
              <w:rPr>
                <w:rStyle w:val="Hyperlink"/>
                <w:rFonts w:ascii="Garamond" w:hAnsi="Garamond"/>
                <w:noProof/>
              </w:rPr>
              <w:t>GENERAL PUBLIC SERVICES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_Toc535750218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34</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19" w:history="1">
            <w:r w:rsidR="004F0155" w:rsidRPr="00862183">
              <w:rPr>
                <w:rStyle w:val="Hyperlink"/>
                <w:rFonts w:ascii="Garamond" w:hAnsi="Garamond"/>
                <w:noProof/>
              </w:rPr>
              <w:t>DEFENSE</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_Toc535750219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34</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20" w:history="1">
            <w:r w:rsidR="004F0155" w:rsidRPr="00862183">
              <w:rPr>
                <w:rStyle w:val="Hyperlink"/>
                <w:rFonts w:ascii="Garamond" w:hAnsi="Garamond"/>
                <w:noProof/>
              </w:rPr>
              <w:t>PUBLIC ORDER AND SAFETY</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_Toc535750220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34</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21" w:history="1">
            <w:r w:rsidR="004F0155" w:rsidRPr="00862183">
              <w:rPr>
                <w:rStyle w:val="Hyperlink"/>
                <w:rFonts w:ascii="Garamond" w:hAnsi="Garamond"/>
                <w:noProof/>
              </w:rPr>
              <w:t>ECONOMIC AFFAIRS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_Toc535750221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35</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22" w:history="1">
            <w:r w:rsidR="004F0155" w:rsidRPr="00862183">
              <w:rPr>
                <w:rStyle w:val="Hyperlink"/>
                <w:rFonts w:ascii="Garamond" w:hAnsi="Garamond"/>
                <w:noProof/>
              </w:rPr>
              <w:t>ENVIRONMENTAL PROTECTION</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_Toc535750222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35</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23" w:history="1">
            <w:r w:rsidR="004F0155" w:rsidRPr="00862183">
              <w:rPr>
                <w:rStyle w:val="Hyperlink"/>
                <w:rFonts w:ascii="Garamond" w:hAnsi="Garamond"/>
                <w:noProof/>
              </w:rPr>
              <w:t>HOUSING AND COMMUNITY AMENITIES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_Toc535750223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35</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24" w:history="1">
            <w:r w:rsidR="004F0155" w:rsidRPr="00862183">
              <w:rPr>
                <w:rStyle w:val="Hyperlink"/>
                <w:rFonts w:ascii="Garamond" w:hAnsi="Garamond"/>
                <w:noProof/>
              </w:rPr>
              <w:t>HEALTH</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_Toc535750224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35</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25" w:history="1">
            <w:r w:rsidR="004F0155" w:rsidRPr="00862183">
              <w:rPr>
                <w:rStyle w:val="Hyperlink"/>
                <w:rFonts w:ascii="Garamond" w:hAnsi="Garamond"/>
                <w:noProof/>
              </w:rPr>
              <w:t>RECREATION, CULTURE, AND RELIGION</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_Toc535750225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35</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26" w:history="1">
            <w:r w:rsidR="004F0155" w:rsidRPr="00862183">
              <w:rPr>
                <w:rStyle w:val="Hyperlink"/>
                <w:rFonts w:ascii="Garamond" w:hAnsi="Garamond"/>
                <w:noProof/>
              </w:rPr>
              <w:t>EDUCATION</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_Toc535750226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35</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27" w:history="1">
            <w:r w:rsidR="004F0155" w:rsidRPr="00862183">
              <w:rPr>
                <w:rStyle w:val="Hyperlink"/>
                <w:rFonts w:ascii="Garamond" w:hAnsi="Garamond"/>
                <w:noProof/>
              </w:rPr>
              <w:t>SOCIAL PROTECTION</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_Toc535750227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36</w:t>
            </w:r>
            <w:r w:rsidR="004F0155" w:rsidRPr="00862183">
              <w:rPr>
                <w:rFonts w:ascii="Garamond" w:hAnsi="Garamond"/>
                <w:noProof/>
                <w:webHidden/>
              </w:rPr>
              <w:fldChar w:fldCharType="end"/>
            </w:r>
          </w:hyperlink>
        </w:p>
        <w:p w:rsidR="004F0155" w:rsidRPr="00862183" w:rsidRDefault="00CA0901" w:rsidP="00B01D5C">
          <w:pPr>
            <w:pStyle w:val="TOC1"/>
            <w:bidi w:val="0"/>
            <w:spacing w:line="240" w:lineRule="auto"/>
            <w:jc w:val="left"/>
            <w:rPr>
              <w:rFonts w:ascii="Garamond" w:eastAsiaTheme="minorEastAsia" w:hAnsi="Garamond" w:cstheme="minorBidi"/>
              <w:noProof/>
              <w:color w:val="auto"/>
              <w:kern w:val="0"/>
              <w:lang w:bidi="ar-SA"/>
            </w:rPr>
          </w:pPr>
          <w:hyperlink w:anchor="_Toc535750228" w:history="1">
            <w:r w:rsidR="004F0155" w:rsidRPr="00862183">
              <w:rPr>
                <w:rStyle w:val="Hyperlink"/>
                <w:rFonts w:ascii="Garamond" w:hAnsi="Garamond"/>
                <w:noProof/>
              </w:rPr>
              <w:t>Fiscal Risks and Contingent Liabilities and Assets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_Toc535750228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41</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29" w:history="1">
            <w:r w:rsidR="004F0155" w:rsidRPr="00862183">
              <w:rPr>
                <w:rStyle w:val="Hyperlink"/>
                <w:rFonts w:ascii="Garamond" w:eastAsia="Corbel" w:hAnsi="Garamond"/>
                <w:noProof/>
              </w:rPr>
              <w:t>General Fiscal Risks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_Toc535750229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41</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30" w:history="1">
            <w:r w:rsidR="004F0155" w:rsidRPr="00862183">
              <w:rPr>
                <w:rStyle w:val="Hyperlink"/>
                <w:rFonts w:ascii="Garamond" w:eastAsia="Corbel" w:hAnsi="Garamond"/>
                <w:noProof/>
              </w:rPr>
              <w:t>Security</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_Toc535750230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41</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31" w:history="1">
            <w:r w:rsidR="004F0155" w:rsidRPr="00862183">
              <w:rPr>
                <w:rStyle w:val="Hyperlink"/>
                <w:rFonts w:ascii="Garamond" w:eastAsia="Corbel" w:hAnsi="Garamond"/>
                <w:noProof/>
              </w:rPr>
              <w:t>IDPs &amp; Refugees Repatriation</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_Toc535750231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41</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32" w:history="1">
            <w:r w:rsidR="004F0155" w:rsidRPr="00862183">
              <w:rPr>
                <w:rStyle w:val="Hyperlink"/>
                <w:rFonts w:ascii="Garamond" w:eastAsia="Corbel" w:hAnsi="Garamond"/>
                <w:noProof/>
              </w:rPr>
              <w:t>Climate change and Fiscal Risks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_Toc535750232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42</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33" w:history="1">
            <w:r w:rsidR="004F0155" w:rsidRPr="00862183">
              <w:rPr>
                <w:rStyle w:val="Hyperlink"/>
                <w:rFonts w:ascii="Garamond" w:eastAsia="Corbel" w:hAnsi="Garamond"/>
                <w:noProof/>
              </w:rPr>
              <w:t>State-Owned Enterprises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_Toc535750233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43</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34" w:history="1">
            <w:r w:rsidR="004F0155" w:rsidRPr="00862183">
              <w:rPr>
                <w:rStyle w:val="Hyperlink"/>
                <w:rFonts w:ascii="Garamond" w:hAnsi="Garamond"/>
                <w:noProof/>
              </w:rPr>
              <w:t>Information on Financial Position</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_Toc535750234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43</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35" w:history="1">
            <w:r w:rsidR="004F0155" w:rsidRPr="00862183">
              <w:rPr>
                <w:rStyle w:val="Hyperlink"/>
                <w:rFonts w:ascii="Garamond" w:hAnsi="Garamond"/>
                <w:noProof/>
              </w:rPr>
              <w:t>Measures to Improve State-Owned Enterprises &amp; Companies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_Toc535750235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43</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36" w:history="1">
            <w:r w:rsidR="004F0155" w:rsidRPr="00862183">
              <w:rPr>
                <w:rStyle w:val="Hyperlink"/>
                <w:rFonts w:ascii="Garamond" w:eastAsia="Corbel" w:hAnsi="Garamond"/>
                <w:noProof/>
              </w:rPr>
              <w:t>Pensions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_Toc535750236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44</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37" w:history="1">
            <w:r w:rsidR="004F0155" w:rsidRPr="00862183">
              <w:rPr>
                <w:rStyle w:val="Hyperlink"/>
                <w:rFonts w:ascii="Garamond" w:eastAsia="Corbel" w:hAnsi="Garamond"/>
                <w:noProof/>
              </w:rPr>
              <w:t>Parametric Reforms of the Pension Schemes of Public Sector</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_Toc535750237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45</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38" w:history="1">
            <w:r w:rsidR="004F0155" w:rsidRPr="00862183">
              <w:rPr>
                <w:rStyle w:val="Hyperlink"/>
                <w:rFonts w:ascii="Garamond" w:hAnsi="Garamond"/>
                <w:noProof/>
              </w:rPr>
              <w:t>Public Private Partnership (PPPs)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_Toc535750238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46</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39" w:history="1">
            <w:r w:rsidR="004F0155" w:rsidRPr="00862183">
              <w:rPr>
                <w:rStyle w:val="Hyperlink"/>
                <w:rFonts w:ascii="Garamond" w:hAnsi="Garamond"/>
                <w:noProof/>
              </w:rPr>
              <w:t>Government direct and likely commitments and risks to PPP projects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_Toc535750239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47</w:t>
            </w:r>
            <w:r w:rsidR="004F0155" w:rsidRPr="00862183">
              <w:rPr>
                <w:rFonts w:ascii="Garamond" w:hAnsi="Garamond"/>
                <w:noProof/>
                <w:webHidden/>
              </w:rPr>
              <w:fldChar w:fldCharType="end"/>
            </w:r>
          </w:hyperlink>
        </w:p>
        <w:p w:rsidR="004F0155" w:rsidRPr="00862183" w:rsidRDefault="00CA0901" w:rsidP="00B01D5C">
          <w:pPr>
            <w:pStyle w:val="TOC1"/>
            <w:bidi w:val="0"/>
            <w:spacing w:line="240" w:lineRule="auto"/>
            <w:jc w:val="left"/>
            <w:rPr>
              <w:rFonts w:ascii="Garamond" w:eastAsiaTheme="minorEastAsia" w:hAnsi="Garamond" w:cstheme="minorBidi"/>
              <w:noProof/>
              <w:color w:val="auto"/>
              <w:kern w:val="0"/>
              <w:lang w:bidi="ar-SA"/>
            </w:rPr>
          </w:pPr>
          <w:hyperlink w:anchor="_Toc535750240" w:history="1">
            <w:r w:rsidR="004F0155" w:rsidRPr="00862183">
              <w:rPr>
                <w:rStyle w:val="Hyperlink"/>
                <w:rFonts w:ascii="Garamond" w:hAnsi="Garamond"/>
                <w:noProof/>
              </w:rPr>
              <w:t>Budget Execution Rules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_Toc535750240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49</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41" w:history="1">
            <w:r w:rsidR="004F0155" w:rsidRPr="00862183">
              <w:rPr>
                <w:rStyle w:val="Hyperlink"/>
                <w:rFonts w:ascii="Garamond" w:eastAsia="Corbel" w:hAnsi="Garamond"/>
                <w:noProof/>
              </w:rPr>
              <w:t>Legal framework for implementation of the budget</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_Toc535750241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49</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42" w:history="1">
            <w:r w:rsidR="004F0155" w:rsidRPr="00862183">
              <w:rPr>
                <w:rStyle w:val="Hyperlink"/>
                <w:rFonts w:ascii="Garamond" w:eastAsia="Corbel" w:hAnsi="Garamond"/>
                <w:noProof/>
              </w:rPr>
              <w:t>Administrative requirements for implementation of the national budget</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_Toc535750242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49</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43" w:history="1">
            <w:r w:rsidR="004F0155" w:rsidRPr="00862183">
              <w:rPr>
                <w:rStyle w:val="Hyperlink"/>
                <w:rFonts w:ascii="Garamond" w:eastAsia="Corbel" w:hAnsi="Garamond"/>
                <w:noProof/>
              </w:rPr>
              <w:t>General Provisions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_Toc535750243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49</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44" w:history="1">
            <w:r w:rsidR="004F0155" w:rsidRPr="00862183">
              <w:rPr>
                <w:rStyle w:val="Hyperlink"/>
                <w:rFonts w:ascii="Garamond" w:eastAsia="Corbel" w:hAnsi="Garamond"/>
                <w:noProof/>
              </w:rPr>
              <w:t>Variations and transfers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_Toc535750244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50</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45" w:history="1">
            <w:r w:rsidR="004F0155" w:rsidRPr="00862183">
              <w:rPr>
                <w:rStyle w:val="Hyperlink"/>
                <w:rFonts w:ascii="Garamond" w:eastAsia="Corbel" w:hAnsi="Garamond"/>
                <w:noProof/>
              </w:rPr>
              <w:t>Project Management and Contracting</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_Toc535750245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51</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46" w:history="1">
            <w:r w:rsidR="004F0155" w:rsidRPr="00862183">
              <w:rPr>
                <w:rStyle w:val="Hyperlink"/>
                <w:rFonts w:ascii="Garamond" w:eastAsia="Corbel" w:hAnsi="Garamond"/>
                <w:noProof/>
              </w:rPr>
              <w:t>Staffing</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_Toc535750246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52</w:t>
            </w:r>
            <w:r w:rsidR="004F0155" w:rsidRPr="00862183">
              <w:rPr>
                <w:rFonts w:ascii="Garamond" w:hAnsi="Garamond"/>
                <w:noProof/>
                <w:webHidden/>
              </w:rPr>
              <w:fldChar w:fldCharType="end"/>
            </w:r>
          </w:hyperlink>
        </w:p>
        <w:p w:rsidR="004F0155" w:rsidRPr="00862183" w:rsidRDefault="00CA0901" w:rsidP="00B01D5C">
          <w:pPr>
            <w:pStyle w:val="TOC1"/>
            <w:bidi w:val="0"/>
            <w:spacing w:line="240" w:lineRule="auto"/>
            <w:jc w:val="left"/>
            <w:rPr>
              <w:rFonts w:ascii="Garamond" w:eastAsiaTheme="minorEastAsia" w:hAnsi="Garamond" w:cstheme="minorBidi"/>
              <w:noProof/>
              <w:color w:val="auto"/>
              <w:kern w:val="0"/>
              <w:lang w:bidi="ar-SA"/>
            </w:rPr>
          </w:pPr>
          <w:hyperlink w:anchor="_Toc535750247" w:history="1">
            <w:r w:rsidR="004F0155" w:rsidRPr="00862183">
              <w:rPr>
                <w:rStyle w:val="Hyperlink"/>
                <w:rFonts w:ascii="Garamond" w:hAnsi="Garamond"/>
                <w:noProof/>
              </w:rPr>
              <w:t>New Policy Initiatives 2019</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_Toc535750247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54</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48" w:history="1">
            <w:r w:rsidR="004F0155" w:rsidRPr="00862183">
              <w:rPr>
                <w:rStyle w:val="Hyperlink"/>
                <w:rFonts w:ascii="Garamond" w:hAnsi="Garamond"/>
                <w:noProof/>
              </w:rPr>
              <w:t>Overview</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_Toc535750248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54</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49" w:history="1">
            <w:r w:rsidR="004F0155" w:rsidRPr="00862183">
              <w:rPr>
                <w:rStyle w:val="Hyperlink"/>
                <w:rFonts w:ascii="Garamond" w:hAnsi="Garamond"/>
                <w:noProof/>
              </w:rPr>
              <w:t>What are new policy initiatives?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_Toc535750249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54</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50" w:history="1">
            <w:r w:rsidR="004F0155" w:rsidRPr="00862183">
              <w:rPr>
                <w:rStyle w:val="Hyperlink"/>
                <w:rFonts w:ascii="Garamond" w:eastAsia="Garamond" w:hAnsi="Garamond"/>
                <w:noProof/>
              </w:rPr>
              <w:t>Layout and recommendations to increase revenue</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_Toc535750250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54</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51" w:history="1">
            <w:r w:rsidR="004F0155" w:rsidRPr="00862183">
              <w:rPr>
                <w:rStyle w:val="Hyperlink"/>
                <w:rFonts w:ascii="Garamond" w:hAnsi="Garamond"/>
                <w:noProof/>
              </w:rPr>
              <w:t>Reforms in the 1398 Budget</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_Toc535750251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55</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52" w:history="1">
            <w:r w:rsidR="004F0155" w:rsidRPr="00862183">
              <w:rPr>
                <w:rStyle w:val="Hyperlink"/>
                <w:rFonts w:ascii="Garamond" w:hAnsi="Garamond"/>
                <w:noProof/>
              </w:rPr>
              <w:t>Infrastructure Portfolio Review</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_Toc535750252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57</w:t>
            </w:r>
            <w:r w:rsidR="004F0155" w:rsidRPr="00862183">
              <w:rPr>
                <w:rFonts w:ascii="Garamond" w:hAnsi="Garamond"/>
                <w:noProof/>
                <w:webHidden/>
              </w:rPr>
              <w:fldChar w:fldCharType="end"/>
            </w:r>
          </w:hyperlink>
        </w:p>
        <w:p w:rsidR="004F0155" w:rsidRPr="00862183" w:rsidRDefault="00CA0901" w:rsidP="00B01D5C">
          <w:pPr>
            <w:pStyle w:val="TOC1"/>
            <w:bidi w:val="0"/>
            <w:spacing w:line="240" w:lineRule="auto"/>
            <w:jc w:val="left"/>
            <w:rPr>
              <w:rFonts w:ascii="Garamond" w:eastAsiaTheme="minorEastAsia" w:hAnsi="Garamond" w:cstheme="minorBidi"/>
              <w:noProof/>
              <w:color w:val="auto"/>
              <w:kern w:val="0"/>
              <w:lang w:bidi="ar-SA"/>
            </w:rPr>
          </w:pPr>
          <w:hyperlink w:anchor="_Toc535750253" w:history="1">
            <w:r w:rsidR="004F0155" w:rsidRPr="00862183">
              <w:rPr>
                <w:rStyle w:val="Hyperlink"/>
                <w:rFonts w:ascii="Garamond" w:hAnsi="Garamond"/>
                <w:noProof/>
              </w:rPr>
              <w:t>Organization staffing (Tashkeel)</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_Toc535750253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59</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54" w:history="1">
            <w:r w:rsidR="004F0155" w:rsidRPr="00862183">
              <w:rPr>
                <w:rStyle w:val="Hyperlink"/>
                <w:rFonts w:ascii="Garamond" w:hAnsi="Garamond"/>
                <w:noProof/>
              </w:rPr>
              <w:t>Structural review and decentralization</w:t>
            </w:r>
            <w:r w:rsidR="004F0155" w:rsidRPr="00862183">
              <w:rPr>
                <w:rStyle w:val="Hyperlink"/>
                <w:rFonts w:ascii="Garamond" w:hAnsi="Garamond" w:cstheme="minorHAnsi"/>
                <w:noProof/>
              </w:rPr>
              <w:t>:</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_Toc535750254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59</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55" w:history="1">
            <w:r w:rsidR="004F0155" w:rsidRPr="00862183">
              <w:rPr>
                <w:rStyle w:val="Hyperlink"/>
                <w:rFonts w:ascii="Garamond" w:hAnsi="Garamond"/>
                <w:noProof/>
              </w:rPr>
              <w:t>Tashkeel:</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_Toc535750255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59</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56" w:history="1">
            <w:r w:rsidR="004F0155" w:rsidRPr="00862183">
              <w:rPr>
                <w:rStyle w:val="Hyperlink"/>
                <w:rFonts w:ascii="Garamond" w:hAnsi="Garamond"/>
                <w:noProof/>
              </w:rPr>
              <w:t>National Technical Assistance (NTA):</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_Toc535750256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61</w:t>
            </w:r>
            <w:r w:rsidR="004F0155" w:rsidRPr="00862183">
              <w:rPr>
                <w:rFonts w:ascii="Garamond" w:hAnsi="Garamond"/>
                <w:noProof/>
                <w:webHidden/>
              </w:rPr>
              <w:fldChar w:fldCharType="end"/>
            </w:r>
          </w:hyperlink>
        </w:p>
        <w:p w:rsidR="004F0155" w:rsidRPr="00862183" w:rsidRDefault="00CA0901" w:rsidP="00B01D5C">
          <w:pPr>
            <w:pStyle w:val="TOC1"/>
            <w:bidi w:val="0"/>
            <w:spacing w:line="240" w:lineRule="auto"/>
            <w:jc w:val="left"/>
            <w:rPr>
              <w:rFonts w:ascii="Garamond" w:eastAsiaTheme="minorEastAsia" w:hAnsi="Garamond" w:cstheme="minorBidi"/>
              <w:noProof/>
              <w:color w:val="auto"/>
              <w:kern w:val="0"/>
              <w:lang w:bidi="ar-SA"/>
            </w:rPr>
          </w:pPr>
          <w:hyperlink w:anchor="_Toc535750257" w:history="1">
            <w:r w:rsidR="004F0155" w:rsidRPr="00862183">
              <w:rPr>
                <w:rStyle w:val="Hyperlink"/>
                <w:rFonts w:ascii="Garamond" w:hAnsi="Garamond"/>
                <w:noProof/>
              </w:rPr>
              <w:t>Fiscal Operations in the Provinces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_Toc535750257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62</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58" w:history="1">
            <w:r w:rsidR="004F0155" w:rsidRPr="00862183">
              <w:rPr>
                <w:rStyle w:val="Hyperlink"/>
                <w:rFonts w:ascii="Garamond" w:eastAsia="Arial" w:hAnsi="Garamond"/>
                <w:noProof/>
              </w:rPr>
              <w:t>Overview</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_Toc535750258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62</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59" w:history="1">
            <w:r w:rsidR="004F0155" w:rsidRPr="00862183">
              <w:rPr>
                <w:rStyle w:val="Hyperlink"/>
                <w:rFonts w:ascii="Garamond" w:eastAsia="Garamond" w:hAnsi="Garamond"/>
                <w:noProof/>
              </w:rPr>
              <w:t>Government’s Expenditure from the year 1394-1397 on Provincial Level</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_Toc535750259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62</w:t>
            </w:r>
            <w:r w:rsidR="004F0155" w:rsidRPr="00862183">
              <w:rPr>
                <w:rFonts w:ascii="Garamond" w:hAnsi="Garamond"/>
                <w:noProof/>
                <w:webHidden/>
              </w:rPr>
              <w:fldChar w:fldCharType="end"/>
            </w:r>
          </w:hyperlink>
        </w:p>
        <w:p w:rsidR="004F0155" w:rsidRPr="00862183" w:rsidRDefault="00CA0901" w:rsidP="00B01D5C">
          <w:pPr>
            <w:pStyle w:val="TOC3"/>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60" w:history="1">
            <w:r w:rsidR="004F0155" w:rsidRPr="00862183">
              <w:rPr>
                <w:rStyle w:val="Hyperlink"/>
                <w:rFonts w:ascii="Garamond" w:hAnsi="Garamond"/>
                <w:noProof/>
              </w:rPr>
              <w:t>Provincial Expenditure Analysis</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_Toc535750260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63</w:t>
            </w:r>
            <w:r w:rsidR="004F0155" w:rsidRPr="00862183">
              <w:rPr>
                <w:rFonts w:ascii="Garamond" w:hAnsi="Garamond"/>
                <w:noProof/>
                <w:webHidden/>
              </w:rPr>
              <w:fldChar w:fldCharType="end"/>
            </w:r>
          </w:hyperlink>
        </w:p>
        <w:p w:rsidR="004F0155" w:rsidRPr="00862183" w:rsidRDefault="00CA0901" w:rsidP="00B01D5C">
          <w:pPr>
            <w:pStyle w:val="TOC2"/>
            <w:tabs>
              <w:tab w:val="right" w:leader="dot" w:pos="8296"/>
            </w:tabs>
            <w:bidi w:val="0"/>
            <w:spacing w:line="240" w:lineRule="auto"/>
            <w:jc w:val="left"/>
            <w:rPr>
              <w:rFonts w:ascii="Garamond" w:eastAsiaTheme="minorEastAsia" w:hAnsi="Garamond" w:cstheme="minorBidi"/>
              <w:noProof/>
              <w:color w:val="auto"/>
              <w:kern w:val="0"/>
              <w:lang w:bidi="ar-SA"/>
            </w:rPr>
          </w:pPr>
          <w:hyperlink w:anchor="_Toc535750261" w:history="1">
            <w:r w:rsidR="004F0155" w:rsidRPr="00862183">
              <w:rPr>
                <w:rStyle w:val="Hyperlink"/>
                <w:rFonts w:ascii="Garamond" w:eastAsia="Arial" w:hAnsi="Garamond"/>
                <w:noProof/>
              </w:rPr>
              <w:t>Citizen’s Charter</w:t>
            </w:r>
            <w:r w:rsidR="004F0155" w:rsidRPr="00862183">
              <w:rPr>
                <w:rFonts w:ascii="Garamond" w:hAnsi="Garamond"/>
                <w:noProof/>
                <w:webHidden/>
              </w:rPr>
              <w:tab/>
            </w:r>
            <w:r w:rsidR="004F0155" w:rsidRPr="00862183">
              <w:rPr>
                <w:rFonts w:ascii="Garamond" w:hAnsi="Garamond"/>
                <w:noProof/>
                <w:webHidden/>
              </w:rPr>
              <w:fldChar w:fldCharType="begin"/>
            </w:r>
            <w:r w:rsidR="004F0155" w:rsidRPr="00862183">
              <w:rPr>
                <w:rFonts w:ascii="Garamond" w:hAnsi="Garamond"/>
                <w:noProof/>
                <w:webHidden/>
              </w:rPr>
              <w:instrText xml:space="preserve"> PAGEREF _Toc535750261 \h </w:instrText>
            </w:r>
            <w:r w:rsidR="004F0155" w:rsidRPr="00862183">
              <w:rPr>
                <w:rFonts w:ascii="Garamond" w:hAnsi="Garamond"/>
                <w:noProof/>
                <w:webHidden/>
              </w:rPr>
            </w:r>
            <w:r w:rsidR="004F0155" w:rsidRPr="00862183">
              <w:rPr>
                <w:rFonts w:ascii="Garamond" w:hAnsi="Garamond"/>
                <w:noProof/>
                <w:webHidden/>
              </w:rPr>
              <w:fldChar w:fldCharType="separate"/>
            </w:r>
            <w:r w:rsidR="00374F00">
              <w:rPr>
                <w:rFonts w:ascii="Garamond" w:hAnsi="Garamond"/>
                <w:noProof/>
                <w:webHidden/>
              </w:rPr>
              <w:t>68</w:t>
            </w:r>
            <w:r w:rsidR="004F0155" w:rsidRPr="00862183">
              <w:rPr>
                <w:rFonts w:ascii="Garamond" w:hAnsi="Garamond"/>
                <w:noProof/>
                <w:webHidden/>
              </w:rPr>
              <w:fldChar w:fldCharType="end"/>
            </w:r>
          </w:hyperlink>
        </w:p>
        <w:p w:rsidR="00862183" w:rsidRDefault="004504AC" w:rsidP="00862183">
          <w:pPr>
            <w:rPr>
              <w:b/>
              <w:bCs/>
              <w:noProof/>
              <w:rtl/>
            </w:rPr>
          </w:pPr>
          <w:r w:rsidRPr="004F0155">
            <w:rPr>
              <w:b/>
              <w:bCs/>
              <w:noProof/>
              <w:szCs w:val="22"/>
            </w:rPr>
            <w:fldChar w:fldCharType="end"/>
          </w:r>
        </w:p>
      </w:sdtContent>
    </w:sdt>
    <w:p w:rsidR="0035712C" w:rsidRPr="00862183" w:rsidRDefault="004F0155" w:rsidP="00862183">
      <w:pPr>
        <w:pStyle w:val="TOCHeading"/>
        <w:jc w:val="center"/>
        <w:rPr>
          <w:rFonts w:ascii="Garamond" w:hAnsi="Garamond"/>
        </w:rPr>
      </w:pPr>
      <w:r w:rsidRPr="00862183">
        <w:rPr>
          <w:rFonts w:ascii="Garamond" w:hAnsi="Garamond"/>
        </w:rPr>
        <w:t>LIST OF TABLES</w:t>
      </w:r>
    </w:p>
    <w:p w:rsidR="004F0155" w:rsidRPr="00B01D5C" w:rsidRDefault="004F0155" w:rsidP="00B01D5C">
      <w:pPr>
        <w:pStyle w:val="TableofFigures"/>
        <w:tabs>
          <w:tab w:val="right" w:leader="dot" w:pos="8296"/>
        </w:tabs>
        <w:bidi w:val="0"/>
        <w:jc w:val="left"/>
        <w:rPr>
          <w:rFonts w:ascii="Garamond" w:eastAsiaTheme="minorEastAsia" w:hAnsi="Garamond" w:cstheme="minorBidi"/>
          <w:noProof/>
          <w:color w:val="auto"/>
          <w:kern w:val="0"/>
          <w:lang w:bidi="ar-SA"/>
        </w:rPr>
      </w:pPr>
      <w:r>
        <w:fldChar w:fldCharType="begin"/>
      </w:r>
      <w:r>
        <w:instrText xml:space="preserve"> TOC \h \z \c "Table" </w:instrText>
      </w:r>
      <w:r>
        <w:fldChar w:fldCharType="separate"/>
      </w:r>
      <w:hyperlink w:anchor="_Toc535750262" w:history="1">
        <w:r w:rsidRPr="00B01D5C">
          <w:rPr>
            <w:rStyle w:val="Hyperlink"/>
            <w:rFonts w:ascii="Garamond" w:hAnsi="Garamond"/>
            <w:noProof/>
          </w:rPr>
          <w:t>Table 1 Budget summary and financing resources 1397- 1401</w:t>
        </w:r>
        <w:r w:rsidRPr="00B01D5C">
          <w:rPr>
            <w:rFonts w:ascii="Garamond" w:hAnsi="Garamond"/>
            <w:noProof/>
            <w:webHidden/>
          </w:rPr>
          <w:tab/>
        </w:r>
        <w:r w:rsidRPr="00B01D5C">
          <w:rPr>
            <w:rFonts w:ascii="Garamond" w:hAnsi="Garamond"/>
            <w:noProof/>
            <w:webHidden/>
          </w:rPr>
          <w:fldChar w:fldCharType="begin"/>
        </w:r>
        <w:r w:rsidRPr="00B01D5C">
          <w:rPr>
            <w:rFonts w:ascii="Garamond" w:hAnsi="Garamond"/>
            <w:noProof/>
            <w:webHidden/>
          </w:rPr>
          <w:instrText xml:space="preserve"> PAGEREF _Toc535750262 \h </w:instrText>
        </w:r>
        <w:r w:rsidRPr="00B01D5C">
          <w:rPr>
            <w:rFonts w:ascii="Garamond" w:hAnsi="Garamond"/>
            <w:noProof/>
            <w:webHidden/>
          </w:rPr>
        </w:r>
        <w:r w:rsidRPr="00B01D5C">
          <w:rPr>
            <w:rFonts w:ascii="Garamond" w:hAnsi="Garamond"/>
            <w:noProof/>
            <w:webHidden/>
          </w:rPr>
          <w:fldChar w:fldCharType="separate"/>
        </w:r>
        <w:r w:rsidR="00862183">
          <w:rPr>
            <w:rFonts w:ascii="Garamond" w:hAnsi="Garamond"/>
            <w:noProof/>
            <w:webHidden/>
          </w:rPr>
          <w:t>3</w:t>
        </w:r>
        <w:r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63" w:history="1">
        <w:r w:rsidR="004F0155" w:rsidRPr="00B01D5C">
          <w:rPr>
            <w:rStyle w:val="Hyperlink"/>
            <w:rFonts w:ascii="Garamond" w:hAnsi="Garamond"/>
            <w:noProof/>
          </w:rPr>
          <w:t>Table 2 Medium Term Macro Framework</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_Toc535750263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5</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64" w:history="1">
        <w:r w:rsidR="004F0155" w:rsidRPr="00B01D5C">
          <w:rPr>
            <w:rStyle w:val="Hyperlink"/>
            <w:rFonts w:ascii="Garamond" w:hAnsi="Garamond"/>
            <w:noProof/>
          </w:rPr>
          <w:t>Table 3 Structure of the sectors according to the government functions</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_Toc535750264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15</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65" w:history="1">
        <w:r w:rsidR="004F0155" w:rsidRPr="00B01D5C">
          <w:rPr>
            <w:rStyle w:val="Hyperlink"/>
            <w:rFonts w:ascii="Garamond" w:hAnsi="Garamond"/>
            <w:noProof/>
          </w:rPr>
          <w:t>Table 4 Consolidated Budget of 1398</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_Toc535750265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20</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66" w:history="1">
        <w:r w:rsidR="004F0155" w:rsidRPr="00B01D5C">
          <w:rPr>
            <w:rStyle w:val="Hyperlink"/>
            <w:rFonts w:ascii="Garamond" w:hAnsi="Garamond"/>
            <w:noProof/>
          </w:rPr>
          <w:t>Table 5 1398 New Projects List</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_Toc535750266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24</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67" w:history="1">
        <w:r w:rsidR="004F0155" w:rsidRPr="00B01D5C">
          <w:rPr>
            <w:rStyle w:val="Hyperlink"/>
            <w:rFonts w:ascii="Garamond" w:hAnsi="Garamond"/>
            <w:noProof/>
          </w:rPr>
          <w:t>Table 6 Revenue Forecasts Assumptions</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_Toc535750267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28</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68" w:history="1">
        <w:r w:rsidR="004F0155" w:rsidRPr="00B01D5C">
          <w:rPr>
            <w:rStyle w:val="Hyperlink"/>
            <w:rFonts w:ascii="Garamond" w:hAnsi="Garamond"/>
            <w:noProof/>
          </w:rPr>
          <w:t>Table 7 Ordinary Budget Aid</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_Toc535750268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31</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69" w:history="1">
        <w:r w:rsidR="004F0155" w:rsidRPr="00B01D5C">
          <w:rPr>
            <w:rStyle w:val="Hyperlink"/>
            <w:rFonts w:ascii="Garamond" w:hAnsi="Garamond"/>
            <w:noProof/>
          </w:rPr>
          <w:t>Table 8 Discretionary Grants in Development Budget</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_Toc535750269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31</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70" w:history="1">
        <w:r w:rsidR="004F0155" w:rsidRPr="00B01D5C">
          <w:rPr>
            <w:rStyle w:val="Hyperlink"/>
            <w:rFonts w:ascii="Garamond" w:hAnsi="Garamond"/>
            <w:noProof/>
          </w:rPr>
          <w:t>Table 9 Non-Discretionary Grants Including Loans in FY 1398 Development Budget</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_Toc535750270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32</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71" w:history="1">
        <w:r w:rsidR="004F0155" w:rsidRPr="00B01D5C">
          <w:rPr>
            <w:rStyle w:val="Hyperlink"/>
            <w:rFonts w:ascii="Garamond" w:hAnsi="Garamond"/>
            <w:noProof/>
          </w:rPr>
          <w:t xml:space="preserve">Table </w:t>
        </w:r>
        <w:r w:rsidR="00B01D5C" w:rsidRPr="00B01D5C">
          <w:rPr>
            <w:rStyle w:val="Hyperlink"/>
            <w:rFonts w:ascii="Garamond" w:hAnsi="Garamond"/>
            <w:noProof/>
          </w:rPr>
          <w:t xml:space="preserve"> </w:t>
        </w:r>
        <w:r w:rsidR="004F0155" w:rsidRPr="00B01D5C">
          <w:rPr>
            <w:rStyle w:val="Hyperlink"/>
            <w:rFonts w:ascii="Garamond" w:hAnsi="Garamond"/>
            <w:noProof/>
          </w:rPr>
          <w:t>10 Grants by Government Finance statistics (GFS)</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_Toc535750271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33</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72" w:history="1">
        <w:r w:rsidR="004F0155" w:rsidRPr="00B01D5C">
          <w:rPr>
            <w:rStyle w:val="Hyperlink"/>
            <w:rFonts w:ascii="Garamond" w:hAnsi="Garamond"/>
            <w:noProof/>
          </w:rPr>
          <w:t>Table</w:t>
        </w:r>
        <w:r w:rsidR="00B01D5C" w:rsidRPr="00B01D5C">
          <w:rPr>
            <w:rStyle w:val="Hyperlink"/>
            <w:rFonts w:ascii="Garamond" w:hAnsi="Garamond"/>
            <w:noProof/>
          </w:rPr>
          <w:t xml:space="preserve"> </w:t>
        </w:r>
        <w:r w:rsidR="004F0155" w:rsidRPr="00B01D5C">
          <w:rPr>
            <w:rStyle w:val="Hyperlink"/>
            <w:rFonts w:ascii="Garamond" w:hAnsi="Garamond"/>
            <w:noProof/>
          </w:rPr>
          <w:t xml:space="preserve"> 11 Government Expenditure by Functional Classification for FY (1398-1401)</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_Toc535750272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37</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73" w:history="1">
        <w:r w:rsidR="00D40FA3" w:rsidRPr="00B01D5C">
          <w:rPr>
            <w:rStyle w:val="Hyperlink"/>
            <w:rFonts w:ascii="Garamond" w:hAnsi="Garamond"/>
            <w:noProof/>
          </w:rPr>
          <w:t xml:space="preserve">Table </w:t>
        </w:r>
        <w:r w:rsidR="00B01D5C" w:rsidRPr="00B01D5C">
          <w:rPr>
            <w:rStyle w:val="Hyperlink"/>
            <w:rFonts w:ascii="Garamond" w:hAnsi="Garamond"/>
            <w:noProof/>
          </w:rPr>
          <w:t xml:space="preserve"> </w:t>
        </w:r>
        <w:r w:rsidR="00D40FA3" w:rsidRPr="00B01D5C">
          <w:rPr>
            <w:rStyle w:val="Hyperlink"/>
            <w:rFonts w:ascii="Garamond" w:hAnsi="Garamond"/>
            <w:noProof/>
          </w:rPr>
          <w:t xml:space="preserve">12 </w:t>
        </w:r>
        <w:r w:rsidR="004F0155" w:rsidRPr="00B01D5C">
          <w:rPr>
            <w:rStyle w:val="Hyperlink"/>
            <w:rFonts w:ascii="Garamond" w:hAnsi="Garamond"/>
            <w:noProof/>
          </w:rPr>
          <w:t>The top 10 Ministrie</w:t>
        </w:r>
        <w:r w:rsidR="00D40FA3" w:rsidRPr="00B01D5C">
          <w:rPr>
            <w:rStyle w:val="Hyperlink"/>
            <w:rFonts w:ascii="Garamond" w:hAnsi="Garamond"/>
            <w:noProof/>
          </w:rPr>
          <w:t>s with largest Tashkeel Numbers</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_Toc535750273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60</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74" w:history="1">
        <w:r w:rsidR="004F0155" w:rsidRPr="00B01D5C">
          <w:rPr>
            <w:rStyle w:val="Hyperlink"/>
            <w:rFonts w:ascii="Garamond" w:hAnsi="Garamond"/>
            <w:noProof/>
          </w:rPr>
          <w:t xml:space="preserve">Table </w:t>
        </w:r>
        <w:r w:rsidR="00B01D5C" w:rsidRPr="00B01D5C">
          <w:rPr>
            <w:rStyle w:val="Hyperlink"/>
            <w:rFonts w:ascii="Garamond" w:hAnsi="Garamond"/>
            <w:noProof/>
          </w:rPr>
          <w:t xml:space="preserve"> </w:t>
        </w:r>
        <w:r w:rsidR="004F0155" w:rsidRPr="00B01D5C">
          <w:rPr>
            <w:rStyle w:val="Hyperlink"/>
            <w:rFonts w:ascii="Garamond" w:hAnsi="Garamond"/>
            <w:noProof/>
          </w:rPr>
          <w:t>13 The top 10 Ministries with largest Number of NTAs for 1397</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_Toc535750274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61</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75" w:history="1">
        <w:r w:rsidR="004F0155" w:rsidRPr="00B01D5C">
          <w:rPr>
            <w:rStyle w:val="Hyperlink"/>
            <w:rFonts w:ascii="Garamond" w:hAnsi="Garamond"/>
            <w:noProof/>
          </w:rPr>
          <w:t>Table</w:t>
        </w:r>
        <w:r w:rsidR="004F0155" w:rsidRPr="00B01D5C">
          <w:rPr>
            <w:rStyle w:val="Hyperlink"/>
            <w:rFonts w:ascii="Garamond" w:hAnsi="Garamond"/>
            <w:noProof/>
            <w:rtl/>
          </w:rPr>
          <w:t xml:space="preserve"> </w:t>
        </w:r>
        <w:r w:rsidR="00B01D5C" w:rsidRPr="00B01D5C">
          <w:rPr>
            <w:rStyle w:val="Hyperlink"/>
            <w:rFonts w:ascii="Garamond" w:hAnsi="Garamond"/>
            <w:noProof/>
          </w:rPr>
          <w:t xml:space="preserve"> </w:t>
        </w:r>
        <w:r w:rsidR="004F0155" w:rsidRPr="00B01D5C">
          <w:rPr>
            <w:rStyle w:val="Hyperlink"/>
            <w:rFonts w:ascii="Garamond" w:hAnsi="Garamond"/>
            <w:noProof/>
            <w:rtl/>
          </w:rPr>
          <w:t>14</w:t>
        </w:r>
        <w:r w:rsidR="00D40FA3" w:rsidRPr="00B01D5C">
          <w:rPr>
            <w:rStyle w:val="Hyperlink"/>
            <w:rFonts w:ascii="Garamond" w:hAnsi="Garamond"/>
            <w:noProof/>
          </w:rPr>
          <w:t xml:space="preserve"> </w:t>
        </w:r>
        <w:r w:rsidR="004F0155" w:rsidRPr="00B01D5C">
          <w:rPr>
            <w:rStyle w:val="Hyperlink"/>
            <w:rFonts w:ascii="Garamond" w:hAnsi="Garamond"/>
            <w:noProof/>
          </w:rPr>
          <w:t>Government’s Expenditure according to Provinces</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_Toc535750275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62</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76" w:history="1">
        <w:r w:rsidR="004F0155" w:rsidRPr="00B01D5C">
          <w:rPr>
            <w:rStyle w:val="Hyperlink"/>
            <w:rFonts w:ascii="Garamond" w:hAnsi="Garamond"/>
            <w:noProof/>
          </w:rPr>
          <w:t>Table</w:t>
        </w:r>
        <w:r w:rsidR="004F0155" w:rsidRPr="00B01D5C">
          <w:rPr>
            <w:rStyle w:val="Hyperlink"/>
            <w:rFonts w:ascii="Garamond" w:hAnsi="Garamond"/>
            <w:noProof/>
            <w:rtl/>
          </w:rPr>
          <w:t xml:space="preserve"> </w:t>
        </w:r>
        <w:r w:rsidR="00D40FA3" w:rsidRPr="00B01D5C">
          <w:rPr>
            <w:rStyle w:val="Hyperlink"/>
            <w:rFonts w:ascii="Garamond" w:hAnsi="Garamond"/>
            <w:noProof/>
          </w:rPr>
          <w:t xml:space="preserve"> </w:t>
        </w:r>
        <w:r w:rsidR="004F0155" w:rsidRPr="00B01D5C">
          <w:rPr>
            <w:rStyle w:val="Hyperlink"/>
            <w:rFonts w:ascii="Garamond" w:hAnsi="Garamond"/>
            <w:noProof/>
            <w:rtl/>
          </w:rPr>
          <w:t>15</w:t>
        </w:r>
        <w:r w:rsidR="00D40FA3" w:rsidRPr="00B01D5C">
          <w:rPr>
            <w:rStyle w:val="Hyperlink"/>
            <w:rFonts w:ascii="Garamond" w:hAnsi="Garamond"/>
            <w:noProof/>
          </w:rPr>
          <w:t xml:space="preserve"> </w:t>
        </w:r>
        <w:r w:rsidR="004F0155" w:rsidRPr="00B01D5C">
          <w:rPr>
            <w:rStyle w:val="Hyperlink"/>
            <w:rFonts w:ascii="Garamond" w:hAnsi="Garamond"/>
            <w:noProof/>
          </w:rPr>
          <w:t>Requirements by Province</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_Toc535750276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67</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77" w:history="1">
        <w:r w:rsidR="004F0155" w:rsidRPr="00B01D5C">
          <w:rPr>
            <w:rStyle w:val="Hyperlink"/>
            <w:rFonts w:ascii="Garamond" w:hAnsi="Garamond"/>
            <w:noProof/>
          </w:rPr>
          <w:t>Table</w:t>
        </w:r>
        <w:r w:rsidR="00D40FA3" w:rsidRPr="00B01D5C">
          <w:rPr>
            <w:rStyle w:val="Hyperlink"/>
            <w:rFonts w:ascii="Garamond" w:hAnsi="Garamond"/>
            <w:noProof/>
          </w:rPr>
          <w:t xml:space="preserve"> </w:t>
        </w:r>
        <w:r w:rsidR="004F0155" w:rsidRPr="00B01D5C">
          <w:rPr>
            <w:rStyle w:val="Hyperlink"/>
            <w:rFonts w:ascii="Garamond" w:hAnsi="Garamond"/>
            <w:noProof/>
          </w:rPr>
          <w:t xml:space="preserve"> 16 Citizen Charter Expenditures by Province and District </w:t>
        </w:r>
        <w:r w:rsidR="004F0155" w:rsidRPr="00B01D5C">
          <w:rPr>
            <w:rStyle w:val="Hyperlink"/>
            <w:rFonts w:ascii="Garamond" w:hAnsi="Garamond" w:cs="Times New Roman"/>
            <w:noProof/>
          </w:rPr>
          <w:t>–</w:t>
        </w:r>
        <w:r w:rsidR="004F0155" w:rsidRPr="00B01D5C">
          <w:rPr>
            <w:rStyle w:val="Hyperlink"/>
            <w:rFonts w:ascii="Garamond" w:hAnsi="Garamond"/>
            <w:noProof/>
          </w:rPr>
          <w:t xml:space="preserve"> Figures in USD</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_Toc535750277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69</w:t>
        </w:r>
        <w:r w:rsidR="004F0155" w:rsidRPr="00B01D5C">
          <w:rPr>
            <w:rFonts w:ascii="Garamond" w:hAnsi="Garamond"/>
            <w:noProof/>
            <w:webHidden/>
          </w:rPr>
          <w:fldChar w:fldCharType="end"/>
        </w:r>
      </w:hyperlink>
    </w:p>
    <w:p w:rsidR="004F0155" w:rsidRPr="00B01D5C" w:rsidRDefault="00CA0901" w:rsidP="00B01D5C">
      <w:pPr>
        <w:pStyle w:val="TableofFigures"/>
        <w:tabs>
          <w:tab w:val="right" w:leader="dot" w:pos="8296"/>
        </w:tabs>
        <w:bidi w:val="0"/>
        <w:jc w:val="left"/>
        <w:rPr>
          <w:rFonts w:ascii="Garamond" w:eastAsiaTheme="minorEastAsia" w:hAnsi="Garamond" w:cstheme="minorBidi"/>
          <w:noProof/>
          <w:color w:val="auto"/>
          <w:kern w:val="0"/>
          <w:lang w:bidi="ar-SA"/>
        </w:rPr>
      </w:pPr>
      <w:hyperlink w:anchor="_Toc535750278" w:history="1">
        <w:r w:rsidR="004F0155" w:rsidRPr="00B01D5C">
          <w:rPr>
            <w:rStyle w:val="Hyperlink"/>
            <w:rFonts w:ascii="Garamond" w:hAnsi="Garamond"/>
            <w:noProof/>
          </w:rPr>
          <w:t xml:space="preserve">Table </w:t>
        </w:r>
        <w:r w:rsidR="00D40FA3" w:rsidRPr="00B01D5C">
          <w:rPr>
            <w:rStyle w:val="Hyperlink"/>
            <w:rFonts w:ascii="Garamond" w:hAnsi="Garamond"/>
            <w:noProof/>
          </w:rPr>
          <w:t xml:space="preserve"> </w:t>
        </w:r>
        <w:r w:rsidR="004F0155" w:rsidRPr="00B01D5C">
          <w:rPr>
            <w:rStyle w:val="Hyperlink"/>
            <w:rFonts w:ascii="Garamond" w:hAnsi="Garamond"/>
            <w:noProof/>
          </w:rPr>
          <w:t>17 Local Councils</w:t>
        </w:r>
        <w:r w:rsidR="004F0155" w:rsidRPr="00B01D5C">
          <w:rPr>
            <w:rFonts w:ascii="Garamond" w:hAnsi="Garamond"/>
            <w:noProof/>
            <w:webHidden/>
          </w:rPr>
          <w:tab/>
        </w:r>
        <w:r w:rsidR="004F0155" w:rsidRPr="00B01D5C">
          <w:rPr>
            <w:rFonts w:ascii="Garamond" w:hAnsi="Garamond"/>
            <w:noProof/>
            <w:webHidden/>
          </w:rPr>
          <w:fldChar w:fldCharType="begin"/>
        </w:r>
        <w:r w:rsidR="004F0155" w:rsidRPr="00B01D5C">
          <w:rPr>
            <w:rFonts w:ascii="Garamond" w:hAnsi="Garamond"/>
            <w:noProof/>
            <w:webHidden/>
          </w:rPr>
          <w:instrText xml:space="preserve"> PAGEREF _Toc535750278 \h </w:instrText>
        </w:r>
        <w:r w:rsidR="004F0155" w:rsidRPr="00B01D5C">
          <w:rPr>
            <w:rFonts w:ascii="Garamond" w:hAnsi="Garamond"/>
            <w:noProof/>
            <w:webHidden/>
          </w:rPr>
        </w:r>
        <w:r w:rsidR="004F0155" w:rsidRPr="00B01D5C">
          <w:rPr>
            <w:rFonts w:ascii="Garamond" w:hAnsi="Garamond"/>
            <w:noProof/>
            <w:webHidden/>
          </w:rPr>
          <w:fldChar w:fldCharType="separate"/>
        </w:r>
        <w:r w:rsidR="00862183">
          <w:rPr>
            <w:rFonts w:ascii="Garamond" w:hAnsi="Garamond"/>
            <w:noProof/>
            <w:webHidden/>
          </w:rPr>
          <w:t>74</w:t>
        </w:r>
        <w:r w:rsidR="004F0155" w:rsidRPr="00B01D5C">
          <w:rPr>
            <w:rFonts w:ascii="Garamond" w:hAnsi="Garamond"/>
            <w:noProof/>
            <w:webHidden/>
          </w:rPr>
          <w:fldChar w:fldCharType="end"/>
        </w:r>
      </w:hyperlink>
    </w:p>
    <w:p w:rsidR="004F0155" w:rsidRDefault="00CA0901" w:rsidP="00B01D5C">
      <w:pPr>
        <w:pStyle w:val="TableofFigures"/>
        <w:tabs>
          <w:tab w:val="right" w:leader="dot" w:pos="8296"/>
        </w:tabs>
        <w:bidi w:val="0"/>
        <w:jc w:val="left"/>
        <w:rPr>
          <w:rStyle w:val="Hyperlink"/>
          <w:rFonts w:ascii="Garamond" w:hAnsi="Garamond"/>
          <w:noProof/>
        </w:rPr>
      </w:pPr>
      <w:hyperlink w:anchor="_Toc535750279" w:history="1">
        <w:r w:rsidR="00B01D5C" w:rsidRPr="00B01D5C">
          <w:rPr>
            <w:rStyle w:val="Hyperlink"/>
            <w:rFonts w:ascii="Garamond" w:hAnsi="Garamond"/>
            <w:noProof/>
          </w:rPr>
          <w:t xml:space="preserve">Table  </w:t>
        </w:r>
        <w:r w:rsidR="004F0155" w:rsidRPr="00B01D5C">
          <w:rPr>
            <w:rStyle w:val="Hyperlink"/>
            <w:rFonts w:ascii="Garamond" w:hAnsi="Garamond"/>
            <w:noProof/>
            <w:rtl/>
          </w:rPr>
          <w:t>18</w:t>
        </w:r>
        <w:r w:rsidR="00B01D5C" w:rsidRPr="00B01D5C">
          <w:rPr>
            <w:rStyle w:val="Hyperlink"/>
            <w:rFonts w:ascii="Garamond" w:hAnsi="Garamond"/>
            <w:noProof/>
          </w:rPr>
          <w:t xml:space="preserve"> </w:t>
        </w:r>
        <w:r w:rsidR="004F0155" w:rsidRPr="00B01D5C">
          <w:rPr>
            <w:rStyle w:val="Hyperlink"/>
            <w:rFonts w:ascii="Garamond" w:hAnsi="Garamond"/>
            <w:noProof/>
          </w:rPr>
          <w:t>Quarter Report by Loans Department – Third Quarter of FY 1397</w:t>
        </w:r>
        <w:r w:rsidR="004F0155" w:rsidRPr="00B01D5C">
          <w:rPr>
            <w:rStyle w:val="Hyperlink"/>
            <w:rFonts w:ascii="Garamond" w:hAnsi="Garamond"/>
            <w:webHidden/>
          </w:rPr>
          <w:tab/>
        </w:r>
        <w:r w:rsidR="004F0155" w:rsidRPr="00B01D5C">
          <w:rPr>
            <w:rStyle w:val="Hyperlink"/>
            <w:rFonts w:ascii="Garamond" w:hAnsi="Garamond"/>
            <w:webHidden/>
          </w:rPr>
          <w:fldChar w:fldCharType="begin"/>
        </w:r>
        <w:r w:rsidR="004F0155" w:rsidRPr="00B01D5C">
          <w:rPr>
            <w:rStyle w:val="Hyperlink"/>
            <w:rFonts w:ascii="Garamond" w:hAnsi="Garamond"/>
            <w:webHidden/>
          </w:rPr>
          <w:instrText xml:space="preserve"> PAGEREF _Toc535750279 \h </w:instrText>
        </w:r>
        <w:r w:rsidR="004F0155" w:rsidRPr="00B01D5C">
          <w:rPr>
            <w:rStyle w:val="Hyperlink"/>
            <w:rFonts w:ascii="Garamond" w:hAnsi="Garamond"/>
            <w:webHidden/>
          </w:rPr>
        </w:r>
        <w:r w:rsidR="004F0155" w:rsidRPr="00B01D5C">
          <w:rPr>
            <w:rStyle w:val="Hyperlink"/>
            <w:rFonts w:ascii="Garamond" w:hAnsi="Garamond"/>
            <w:webHidden/>
          </w:rPr>
          <w:fldChar w:fldCharType="separate"/>
        </w:r>
        <w:r w:rsidR="00862183">
          <w:rPr>
            <w:rStyle w:val="Hyperlink"/>
            <w:rFonts w:ascii="Garamond" w:hAnsi="Garamond"/>
            <w:noProof/>
            <w:webHidden/>
          </w:rPr>
          <w:t>75</w:t>
        </w:r>
        <w:r w:rsidR="004F0155" w:rsidRPr="00B01D5C">
          <w:rPr>
            <w:rStyle w:val="Hyperlink"/>
            <w:rFonts w:ascii="Garamond" w:hAnsi="Garamond"/>
            <w:webHidden/>
          </w:rPr>
          <w:fldChar w:fldCharType="end"/>
        </w:r>
      </w:hyperlink>
    </w:p>
    <w:p w:rsidR="00B01D5C" w:rsidRDefault="00862183" w:rsidP="00E70BC6">
      <w:pPr>
        <w:rPr>
          <w:lang w:bidi="fa-IR"/>
        </w:rPr>
      </w:pPr>
      <w:r w:rsidRPr="00B01D5C">
        <w:rPr>
          <w:lang w:bidi="fa-IR"/>
        </w:rPr>
        <w:t>Table</w:t>
      </w:r>
      <w:r>
        <w:rPr>
          <w:lang w:bidi="fa-IR"/>
        </w:rPr>
        <w:t xml:space="preserve">  19</w:t>
      </w:r>
      <w:r w:rsidR="00B01D5C" w:rsidRPr="00B01D5C">
        <w:rPr>
          <w:lang w:bidi="fa-IR"/>
        </w:rPr>
        <w:t xml:space="preserve"> Budget and Financing Summary for FY 1398</w:t>
      </w:r>
      <w:r>
        <w:rPr>
          <w:lang w:bidi="fa-IR"/>
        </w:rPr>
        <w:t>…………………………………......</w:t>
      </w:r>
      <w:r w:rsidR="00E70BC6">
        <w:rPr>
          <w:lang w:bidi="fa-IR"/>
        </w:rPr>
        <w:t>.</w:t>
      </w:r>
      <w:r>
        <w:rPr>
          <w:lang w:bidi="fa-IR"/>
        </w:rPr>
        <w:t>....</w:t>
      </w:r>
      <w:r w:rsidR="00E70BC6">
        <w:rPr>
          <w:lang w:bidi="fa-IR"/>
        </w:rPr>
        <w:t>76</w:t>
      </w:r>
    </w:p>
    <w:p w:rsidR="00B01D5C" w:rsidRDefault="00862183" w:rsidP="00E70BC6">
      <w:pPr>
        <w:rPr>
          <w:lang w:bidi="fa-IR"/>
        </w:rPr>
      </w:pPr>
      <w:r>
        <w:rPr>
          <w:lang w:bidi="fa-IR"/>
        </w:rPr>
        <w:t>Table  20</w:t>
      </w:r>
      <w:r w:rsidR="00B01D5C" w:rsidRPr="00B01D5C">
        <w:rPr>
          <w:lang w:bidi="fa-IR"/>
        </w:rPr>
        <w:t xml:space="preserve"> Operating Budget by Ministry and Major Economic Codes</w:t>
      </w:r>
      <w:r w:rsidR="00B01D5C">
        <w:rPr>
          <w:lang w:bidi="fa-IR"/>
        </w:rPr>
        <w:t>…………………</w:t>
      </w:r>
      <w:r w:rsidR="00E70BC6">
        <w:rPr>
          <w:lang w:bidi="fa-IR"/>
        </w:rPr>
        <w:t>..</w:t>
      </w:r>
      <w:r w:rsidR="00B01D5C">
        <w:rPr>
          <w:lang w:bidi="fa-IR"/>
        </w:rPr>
        <w:t>.……..</w:t>
      </w:r>
      <w:r w:rsidR="00E70BC6">
        <w:rPr>
          <w:lang w:bidi="fa-IR"/>
        </w:rPr>
        <w:t>77</w:t>
      </w:r>
    </w:p>
    <w:p w:rsidR="00862183" w:rsidRDefault="00862183" w:rsidP="00E70BC6">
      <w:pPr>
        <w:rPr>
          <w:lang w:bidi="fa-IR"/>
        </w:rPr>
      </w:pPr>
      <w:r>
        <w:rPr>
          <w:lang w:bidi="fa-IR"/>
        </w:rPr>
        <w:t>Table  21</w:t>
      </w:r>
      <w:r w:rsidRPr="00862183">
        <w:rPr>
          <w:lang w:bidi="fa-IR"/>
        </w:rPr>
        <w:t xml:space="preserve"> 1398 Tashkeel by Ministry</w:t>
      </w:r>
      <w:r>
        <w:rPr>
          <w:lang w:bidi="fa-IR"/>
        </w:rPr>
        <w:t>……...…………………………………………</w:t>
      </w:r>
      <w:r w:rsidR="00E70BC6">
        <w:rPr>
          <w:lang w:bidi="fa-IR"/>
        </w:rPr>
        <w:t>...</w:t>
      </w:r>
      <w:r>
        <w:rPr>
          <w:lang w:bidi="fa-IR"/>
        </w:rPr>
        <w:t>………..</w:t>
      </w:r>
      <w:r w:rsidR="00E70BC6">
        <w:rPr>
          <w:lang w:bidi="fa-IR"/>
        </w:rPr>
        <w:t>80</w:t>
      </w:r>
    </w:p>
    <w:p w:rsidR="00862183" w:rsidRDefault="00862183" w:rsidP="00E70BC6">
      <w:pPr>
        <w:rPr>
          <w:lang w:bidi="fa-IR"/>
        </w:rPr>
      </w:pPr>
      <w:r w:rsidRPr="00862183">
        <w:rPr>
          <w:lang w:bidi="fa-IR"/>
        </w:rPr>
        <w:t>Table</w:t>
      </w:r>
      <w:r>
        <w:rPr>
          <w:lang w:bidi="fa-IR"/>
        </w:rPr>
        <w:t xml:space="preserve">  22</w:t>
      </w:r>
      <w:r w:rsidRPr="00862183">
        <w:rPr>
          <w:lang w:bidi="fa-IR"/>
        </w:rPr>
        <w:t xml:space="preserve"> Development Budget by Ministry and Major Economic Code</w:t>
      </w:r>
      <w:r>
        <w:rPr>
          <w:lang w:bidi="fa-IR"/>
        </w:rPr>
        <w:t>……………</w:t>
      </w:r>
      <w:r w:rsidR="00E70BC6">
        <w:rPr>
          <w:lang w:bidi="fa-IR"/>
        </w:rPr>
        <w:t>..</w:t>
      </w:r>
      <w:r>
        <w:rPr>
          <w:lang w:bidi="fa-IR"/>
        </w:rPr>
        <w:t>………...</w:t>
      </w:r>
      <w:r w:rsidR="00E70BC6">
        <w:rPr>
          <w:lang w:bidi="fa-IR"/>
        </w:rPr>
        <w:t>82</w:t>
      </w:r>
    </w:p>
    <w:p w:rsidR="00862183" w:rsidRDefault="00862183" w:rsidP="00E70BC6">
      <w:pPr>
        <w:rPr>
          <w:lang w:bidi="fa-IR"/>
        </w:rPr>
      </w:pPr>
      <w:r w:rsidRPr="00862183">
        <w:rPr>
          <w:lang w:bidi="fa-IR"/>
        </w:rPr>
        <w:t xml:space="preserve">Table </w:t>
      </w:r>
      <w:r>
        <w:rPr>
          <w:lang w:bidi="fa-IR"/>
        </w:rPr>
        <w:t xml:space="preserve"> 23</w:t>
      </w:r>
      <w:r w:rsidRPr="00862183">
        <w:rPr>
          <w:lang w:bidi="fa-IR"/>
        </w:rPr>
        <w:t xml:space="preserve"> Consolidated Budget by Ministry and Major Economic Codes</w:t>
      </w:r>
      <w:r>
        <w:rPr>
          <w:lang w:bidi="fa-IR"/>
        </w:rPr>
        <w:t>…………….</w:t>
      </w:r>
      <w:r w:rsidR="00E70BC6">
        <w:rPr>
          <w:lang w:bidi="fa-IR"/>
        </w:rPr>
        <w:t>..</w:t>
      </w:r>
      <w:r>
        <w:rPr>
          <w:lang w:bidi="fa-IR"/>
        </w:rPr>
        <w:t>.………</w:t>
      </w:r>
      <w:r w:rsidR="00E70BC6">
        <w:rPr>
          <w:lang w:bidi="fa-IR"/>
        </w:rPr>
        <w:t>84</w:t>
      </w:r>
    </w:p>
    <w:p w:rsidR="00862183" w:rsidRPr="00862183" w:rsidRDefault="00862183" w:rsidP="00E70BC6">
      <w:pPr>
        <w:rPr>
          <w:lang w:bidi="fa-IR"/>
        </w:rPr>
      </w:pPr>
      <w:r w:rsidRPr="00862183">
        <w:rPr>
          <w:lang w:bidi="fa-IR"/>
        </w:rPr>
        <w:t xml:space="preserve">Table </w:t>
      </w:r>
      <w:r>
        <w:rPr>
          <w:lang w:bidi="fa-IR"/>
        </w:rPr>
        <w:t xml:space="preserve"> 24</w:t>
      </w:r>
      <w:r w:rsidRPr="00862183">
        <w:rPr>
          <w:lang w:bidi="fa-IR"/>
        </w:rPr>
        <w:t xml:space="preserve"> Development Projects of FY 1398</w:t>
      </w:r>
      <w:r>
        <w:rPr>
          <w:lang w:bidi="fa-IR"/>
        </w:rPr>
        <w:t>…………………………………………</w:t>
      </w:r>
      <w:r w:rsidR="00E70BC6">
        <w:rPr>
          <w:lang w:bidi="fa-IR"/>
        </w:rPr>
        <w:t>..</w:t>
      </w:r>
      <w:r>
        <w:rPr>
          <w:lang w:bidi="fa-IR"/>
        </w:rPr>
        <w:t>………</w:t>
      </w:r>
      <w:r w:rsidR="00E70BC6">
        <w:rPr>
          <w:lang w:bidi="fa-IR"/>
        </w:rPr>
        <w:t>87</w:t>
      </w:r>
    </w:p>
    <w:p w:rsidR="004F0155" w:rsidRDefault="004F0155" w:rsidP="00B01D5C">
      <w:r>
        <w:fldChar w:fldCharType="end"/>
      </w:r>
    </w:p>
    <w:p w:rsidR="00862183" w:rsidRDefault="00862183" w:rsidP="00B01D5C"/>
    <w:p w:rsidR="00862183" w:rsidRDefault="00862183" w:rsidP="00B01D5C"/>
    <w:p w:rsidR="00862183" w:rsidRDefault="00862183" w:rsidP="00B01D5C"/>
    <w:p w:rsidR="004F0155" w:rsidRPr="00862183" w:rsidRDefault="004F0155" w:rsidP="00862183">
      <w:pPr>
        <w:pStyle w:val="TOCHeading"/>
        <w:jc w:val="center"/>
        <w:rPr>
          <w:rFonts w:ascii="Garamond" w:hAnsi="Garamond"/>
        </w:rPr>
      </w:pPr>
      <w:r w:rsidRPr="00862183">
        <w:rPr>
          <w:rFonts w:ascii="Garamond" w:hAnsi="Garamond"/>
        </w:rPr>
        <w:lastRenderedPageBreak/>
        <w:t>LIST OF FIGURES</w:t>
      </w:r>
    </w:p>
    <w:p w:rsidR="004F0155" w:rsidRDefault="004F0155" w:rsidP="00862183">
      <w:pPr>
        <w:pStyle w:val="TableofFigures"/>
        <w:tabs>
          <w:tab w:val="right" w:leader="dot" w:pos="8296"/>
        </w:tabs>
        <w:bidi w:val="0"/>
        <w:spacing w:after="0" w:line="240" w:lineRule="auto"/>
        <w:rPr>
          <w:rFonts w:asciiTheme="minorHAnsi" w:eastAsiaTheme="minorEastAsia" w:hAnsiTheme="minorHAnsi" w:cstheme="minorBidi"/>
          <w:noProof/>
          <w:color w:val="auto"/>
          <w:kern w:val="0"/>
          <w:lang w:bidi="ar-SA"/>
        </w:rPr>
      </w:pPr>
      <w:r>
        <w:fldChar w:fldCharType="begin"/>
      </w:r>
      <w:r>
        <w:instrText xml:space="preserve"> TOC \h \z \c "Figure" </w:instrText>
      </w:r>
      <w:r>
        <w:fldChar w:fldCharType="separate"/>
      </w:r>
      <w:hyperlink w:anchor="_Toc535750366" w:history="1">
        <w:r w:rsidRPr="00AA5562">
          <w:rPr>
            <w:rStyle w:val="Hyperlink"/>
            <w:rFonts w:ascii="Garamond" w:hAnsi="Garamond"/>
            <w:noProof/>
          </w:rPr>
          <w:t>Figure</w:t>
        </w:r>
        <w:r w:rsidRPr="00AA5562">
          <w:rPr>
            <w:rStyle w:val="Hyperlink"/>
            <w:rFonts w:ascii="Garamond" w:hAnsi="Garamond"/>
            <w:noProof/>
            <w:rtl/>
          </w:rPr>
          <w:t xml:space="preserve"> </w:t>
        </w:r>
        <w:r w:rsidR="00862183">
          <w:rPr>
            <w:rStyle w:val="Hyperlink"/>
            <w:rFonts w:ascii="Garamond" w:hAnsi="Garamond"/>
            <w:noProof/>
          </w:rPr>
          <w:t xml:space="preserve"> </w:t>
        </w:r>
        <w:r w:rsidRPr="00AA5562">
          <w:rPr>
            <w:rStyle w:val="Hyperlink"/>
            <w:rFonts w:ascii="Garamond" w:hAnsi="Garamond"/>
            <w:noProof/>
            <w:rtl/>
          </w:rPr>
          <w:t>1</w:t>
        </w:r>
        <w:r w:rsidRPr="00AA5562">
          <w:rPr>
            <w:rStyle w:val="Hyperlink"/>
            <w:rFonts w:ascii="Garamond" w:hAnsi="Garamond"/>
            <w:noProof/>
          </w:rPr>
          <w:t xml:space="preserve"> Inflation</w:t>
        </w:r>
        <w:r>
          <w:rPr>
            <w:noProof/>
            <w:webHidden/>
          </w:rPr>
          <w:tab/>
        </w:r>
        <w:r>
          <w:rPr>
            <w:noProof/>
            <w:webHidden/>
          </w:rPr>
          <w:fldChar w:fldCharType="begin"/>
        </w:r>
        <w:r>
          <w:rPr>
            <w:noProof/>
            <w:webHidden/>
          </w:rPr>
          <w:instrText xml:space="preserve"> PAGEREF _Toc535750366 \h </w:instrText>
        </w:r>
        <w:r>
          <w:rPr>
            <w:noProof/>
            <w:webHidden/>
          </w:rPr>
        </w:r>
        <w:r>
          <w:rPr>
            <w:noProof/>
            <w:webHidden/>
          </w:rPr>
          <w:fldChar w:fldCharType="separate"/>
        </w:r>
        <w:r w:rsidR="00862183">
          <w:rPr>
            <w:noProof/>
            <w:webHidden/>
          </w:rPr>
          <w:t>6</w:t>
        </w:r>
        <w:r>
          <w:rPr>
            <w:noProof/>
            <w:webHidden/>
          </w:rPr>
          <w:fldChar w:fldCharType="end"/>
        </w:r>
      </w:hyperlink>
    </w:p>
    <w:p w:rsidR="004F0155" w:rsidRDefault="00CA0901" w:rsidP="00862183">
      <w:pPr>
        <w:pStyle w:val="TableofFigures"/>
        <w:tabs>
          <w:tab w:val="right" w:leader="dot" w:pos="8296"/>
        </w:tabs>
        <w:bidi w:val="0"/>
        <w:spacing w:after="0" w:line="240" w:lineRule="auto"/>
        <w:rPr>
          <w:rFonts w:asciiTheme="minorHAnsi" w:eastAsiaTheme="minorEastAsia" w:hAnsiTheme="minorHAnsi" w:cstheme="minorBidi"/>
          <w:noProof/>
          <w:color w:val="auto"/>
          <w:kern w:val="0"/>
          <w:lang w:bidi="ar-SA"/>
        </w:rPr>
      </w:pPr>
      <w:hyperlink w:anchor="_Toc535750367" w:history="1">
        <w:r w:rsidR="004F0155" w:rsidRPr="00AA5562">
          <w:rPr>
            <w:rStyle w:val="Hyperlink"/>
            <w:rFonts w:ascii="Garamond" w:hAnsi="Garamond"/>
            <w:noProof/>
          </w:rPr>
          <w:t>Figure</w:t>
        </w:r>
        <w:r w:rsidR="004F0155" w:rsidRPr="00AA5562">
          <w:rPr>
            <w:rStyle w:val="Hyperlink"/>
            <w:rFonts w:ascii="Garamond" w:hAnsi="Garamond"/>
            <w:noProof/>
            <w:rtl/>
          </w:rPr>
          <w:t xml:space="preserve"> </w:t>
        </w:r>
        <w:r w:rsidR="00862183">
          <w:rPr>
            <w:rStyle w:val="Hyperlink"/>
            <w:rFonts w:ascii="Garamond" w:hAnsi="Garamond"/>
            <w:noProof/>
          </w:rPr>
          <w:t xml:space="preserve"> </w:t>
        </w:r>
        <w:r w:rsidR="004F0155" w:rsidRPr="00AA5562">
          <w:rPr>
            <w:rStyle w:val="Hyperlink"/>
            <w:rFonts w:ascii="Garamond" w:hAnsi="Garamond"/>
            <w:noProof/>
            <w:rtl/>
          </w:rPr>
          <w:t>2</w:t>
        </w:r>
        <w:r w:rsidR="00862183">
          <w:rPr>
            <w:rStyle w:val="Hyperlink"/>
            <w:rFonts w:ascii="Garamond" w:hAnsi="Garamond"/>
            <w:noProof/>
          </w:rPr>
          <w:t xml:space="preserve"> </w:t>
        </w:r>
        <w:r w:rsidR="004F0155" w:rsidRPr="00AA5562">
          <w:rPr>
            <w:rStyle w:val="Hyperlink"/>
            <w:rFonts w:ascii="Garamond" w:hAnsi="Garamond"/>
            <w:noProof/>
          </w:rPr>
          <w:t>Exchange Rate</w:t>
        </w:r>
        <w:r w:rsidR="004F0155">
          <w:rPr>
            <w:noProof/>
            <w:webHidden/>
          </w:rPr>
          <w:tab/>
        </w:r>
        <w:r w:rsidR="004F0155">
          <w:rPr>
            <w:noProof/>
            <w:webHidden/>
          </w:rPr>
          <w:fldChar w:fldCharType="begin"/>
        </w:r>
        <w:r w:rsidR="004F0155">
          <w:rPr>
            <w:noProof/>
            <w:webHidden/>
          </w:rPr>
          <w:instrText xml:space="preserve"> PAGEREF _Toc535750367 \h </w:instrText>
        </w:r>
        <w:r w:rsidR="004F0155">
          <w:rPr>
            <w:noProof/>
            <w:webHidden/>
          </w:rPr>
        </w:r>
        <w:r w:rsidR="004F0155">
          <w:rPr>
            <w:noProof/>
            <w:webHidden/>
          </w:rPr>
          <w:fldChar w:fldCharType="separate"/>
        </w:r>
        <w:r w:rsidR="00862183">
          <w:rPr>
            <w:noProof/>
            <w:webHidden/>
          </w:rPr>
          <w:t>7</w:t>
        </w:r>
        <w:r w:rsidR="004F0155">
          <w:rPr>
            <w:noProof/>
            <w:webHidden/>
          </w:rPr>
          <w:fldChar w:fldCharType="end"/>
        </w:r>
      </w:hyperlink>
    </w:p>
    <w:p w:rsidR="004F0155" w:rsidRDefault="00CA0901" w:rsidP="00862183">
      <w:pPr>
        <w:pStyle w:val="TableofFigures"/>
        <w:tabs>
          <w:tab w:val="right" w:leader="dot" w:pos="8296"/>
        </w:tabs>
        <w:bidi w:val="0"/>
        <w:spacing w:after="0" w:line="240" w:lineRule="auto"/>
        <w:rPr>
          <w:rFonts w:asciiTheme="minorHAnsi" w:eastAsiaTheme="minorEastAsia" w:hAnsiTheme="minorHAnsi" w:cstheme="minorBidi"/>
          <w:noProof/>
          <w:color w:val="auto"/>
          <w:kern w:val="0"/>
          <w:lang w:bidi="ar-SA"/>
        </w:rPr>
      </w:pPr>
      <w:hyperlink w:anchor="_Toc535750368" w:history="1">
        <w:r w:rsidR="00862183">
          <w:rPr>
            <w:rStyle w:val="Hyperlink"/>
            <w:rFonts w:ascii="Garamond" w:hAnsi="Garamond"/>
            <w:noProof/>
          </w:rPr>
          <w:t xml:space="preserve">Figure  </w:t>
        </w:r>
        <w:r w:rsidR="004F0155" w:rsidRPr="00AA5562">
          <w:rPr>
            <w:rStyle w:val="Hyperlink"/>
            <w:rFonts w:ascii="Garamond" w:hAnsi="Garamond"/>
            <w:noProof/>
          </w:rPr>
          <w:t>3 Domestic Revenue and Foreign Aid</w:t>
        </w:r>
        <w:r w:rsidR="004F0155">
          <w:rPr>
            <w:noProof/>
            <w:webHidden/>
          </w:rPr>
          <w:tab/>
        </w:r>
        <w:r w:rsidR="004F0155">
          <w:rPr>
            <w:noProof/>
            <w:webHidden/>
          </w:rPr>
          <w:fldChar w:fldCharType="begin"/>
        </w:r>
        <w:r w:rsidR="004F0155">
          <w:rPr>
            <w:noProof/>
            <w:webHidden/>
          </w:rPr>
          <w:instrText xml:space="preserve"> PAGEREF _Toc535750368 \h </w:instrText>
        </w:r>
        <w:r w:rsidR="004F0155">
          <w:rPr>
            <w:noProof/>
            <w:webHidden/>
          </w:rPr>
        </w:r>
        <w:r w:rsidR="004F0155">
          <w:rPr>
            <w:noProof/>
            <w:webHidden/>
          </w:rPr>
          <w:fldChar w:fldCharType="separate"/>
        </w:r>
        <w:r w:rsidR="00862183">
          <w:rPr>
            <w:noProof/>
            <w:webHidden/>
          </w:rPr>
          <w:t>12</w:t>
        </w:r>
        <w:r w:rsidR="004F0155">
          <w:rPr>
            <w:noProof/>
            <w:webHidden/>
          </w:rPr>
          <w:fldChar w:fldCharType="end"/>
        </w:r>
      </w:hyperlink>
    </w:p>
    <w:p w:rsidR="004F0155" w:rsidRDefault="00CA0901" w:rsidP="00862183">
      <w:pPr>
        <w:pStyle w:val="TableofFigures"/>
        <w:tabs>
          <w:tab w:val="right" w:leader="dot" w:pos="8296"/>
        </w:tabs>
        <w:bidi w:val="0"/>
        <w:spacing w:after="0" w:line="240" w:lineRule="auto"/>
        <w:rPr>
          <w:rFonts w:asciiTheme="minorHAnsi" w:eastAsiaTheme="minorEastAsia" w:hAnsiTheme="minorHAnsi" w:cstheme="minorBidi"/>
          <w:noProof/>
          <w:color w:val="auto"/>
          <w:kern w:val="0"/>
          <w:lang w:bidi="ar-SA"/>
        </w:rPr>
      </w:pPr>
      <w:hyperlink w:anchor="_Toc535750369" w:history="1">
        <w:r w:rsidR="004F0155" w:rsidRPr="00AA5562">
          <w:rPr>
            <w:rStyle w:val="Hyperlink"/>
            <w:rFonts w:ascii="Garamond" w:hAnsi="Garamond"/>
            <w:noProof/>
          </w:rPr>
          <w:t xml:space="preserve">Figure </w:t>
        </w:r>
        <w:r w:rsidR="00862183">
          <w:rPr>
            <w:rStyle w:val="Hyperlink"/>
            <w:rFonts w:ascii="Garamond" w:hAnsi="Garamond"/>
            <w:noProof/>
          </w:rPr>
          <w:t xml:space="preserve"> </w:t>
        </w:r>
        <w:r w:rsidR="004F0155" w:rsidRPr="00AA5562">
          <w:rPr>
            <w:rStyle w:val="Hyperlink"/>
            <w:rFonts w:ascii="Garamond" w:hAnsi="Garamond"/>
            <w:noProof/>
          </w:rPr>
          <w:t>4 Expenditure and Revenue Pathway</w:t>
        </w:r>
        <w:r w:rsidR="004F0155">
          <w:rPr>
            <w:noProof/>
            <w:webHidden/>
          </w:rPr>
          <w:tab/>
        </w:r>
        <w:r w:rsidR="004F0155">
          <w:rPr>
            <w:noProof/>
            <w:webHidden/>
          </w:rPr>
          <w:fldChar w:fldCharType="begin"/>
        </w:r>
        <w:r w:rsidR="004F0155">
          <w:rPr>
            <w:noProof/>
            <w:webHidden/>
          </w:rPr>
          <w:instrText xml:space="preserve"> PAGEREF _Toc535750369 \h </w:instrText>
        </w:r>
        <w:r w:rsidR="004F0155">
          <w:rPr>
            <w:noProof/>
            <w:webHidden/>
          </w:rPr>
        </w:r>
        <w:r w:rsidR="004F0155">
          <w:rPr>
            <w:noProof/>
            <w:webHidden/>
          </w:rPr>
          <w:fldChar w:fldCharType="separate"/>
        </w:r>
        <w:r w:rsidR="00862183">
          <w:rPr>
            <w:noProof/>
            <w:webHidden/>
          </w:rPr>
          <w:t>13</w:t>
        </w:r>
        <w:r w:rsidR="004F0155">
          <w:rPr>
            <w:noProof/>
            <w:webHidden/>
          </w:rPr>
          <w:fldChar w:fldCharType="end"/>
        </w:r>
      </w:hyperlink>
    </w:p>
    <w:p w:rsidR="004F0155" w:rsidRDefault="00CA0901" w:rsidP="00862183">
      <w:pPr>
        <w:pStyle w:val="TableofFigures"/>
        <w:tabs>
          <w:tab w:val="right" w:leader="dot" w:pos="8296"/>
        </w:tabs>
        <w:bidi w:val="0"/>
        <w:spacing w:after="0" w:line="240" w:lineRule="auto"/>
        <w:rPr>
          <w:rFonts w:asciiTheme="minorHAnsi" w:eastAsiaTheme="minorEastAsia" w:hAnsiTheme="minorHAnsi" w:cstheme="minorBidi"/>
          <w:noProof/>
          <w:color w:val="auto"/>
          <w:kern w:val="0"/>
          <w:lang w:bidi="ar-SA"/>
        </w:rPr>
      </w:pPr>
      <w:hyperlink w:anchor="_Toc535750370" w:history="1">
        <w:r w:rsidR="004F0155" w:rsidRPr="00AA5562">
          <w:rPr>
            <w:rStyle w:val="Hyperlink"/>
            <w:rFonts w:ascii="Garamond" w:hAnsi="Garamond"/>
            <w:noProof/>
          </w:rPr>
          <w:t>Figure 5 Main Categories of Domestic Revenue</w:t>
        </w:r>
        <w:r w:rsidR="004F0155">
          <w:rPr>
            <w:noProof/>
            <w:webHidden/>
          </w:rPr>
          <w:tab/>
        </w:r>
        <w:r w:rsidR="004F0155">
          <w:rPr>
            <w:noProof/>
            <w:webHidden/>
          </w:rPr>
          <w:fldChar w:fldCharType="begin"/>
        </w:r>
        <w:r w:rsidR="004F0155">
          <w:rPr>
            <w:noProof/>
            <w:webHidden/>
          </w:rPr>
          <w:instrText xml:space="preserve"> PAGEREF _Toc535750370 \h </w:instrText>
        </w:r>
        <w:r w:rsidR="004F0155">
          <w:rPr>
            <w:noProof/>
            <w:webHidden/>
          </w:rPr>
        </w:r>
        <w:r w:rsidR="004F0155">
          <w:rPr>
            <w:noProof/>
            <w:webHidden/>
          </w:rPr>
          <w:fldChar w:fldCharType="separate"/>
        </w:r>
        <w:r w:rsidR="00862183">
          <w:rPr>
            <w:noProof/>
            <w:webHidden/>
          </w:rPr>
          <w:t>30</w:t>
        </w:r>
        <w:r w:rsidR="004F0155">
          <w:rPr>
            <w:noProof/>
            <w:webHidden/>
          </w:rPr>
          <w:fldChar w:fldCharType="end"/>
        </w:r>
      </w:hyperlink>
    </w:p>
    <w:p w:rsidR="004F0155" w:rsidRDefault="00CA0901" w:rsidP="00862183">
      <w:pPr>
        <w:pStyle w:val="TableofFigures"/>
        <w:tabs>
          <w:tab w:val="right" w:leader="dot" w:pos="8296"/>
        </w:tabs>
        <w:bidi w:val="0"/>
        <w:spacing w:after="0" w:line="240" w:lineRule="auto"/>
        <w:rPr>
          <w:rFonts w:asciiTheme="minorHAnsi" w:eastAsiaTheme="minorEastAsia" w:hAnsiTheme="minorHAnsi" w:cstheme="minorBidi"/>
          <w:noProof/>
          <w:color w:val="auto"/>
          <w:kern w:val="0"/>
          <w:lang w:bidi="ar-SA"/>
        </w:rPr>
      </w:pPr>
      <w:hyperlink w:anchor="_Toc535750371" w:history="1">
        <w:r w:rsidR="004F0155" w:rsidRPr="00AA5562">
          <w:rPr>
            <w:rStyle w:val="Hyperlink"/>
            <w:rFonts w:ascii="Garamond" w:hAnsi="Garamond"/>
            <w:noProof/>
          </w:rPr>
          <w:t>Figure 6 Sources of Loss and Damage (Reduction in GDP growth by 2050)</w:t>
        </w:r>
        <w:r w:rsidR="004F0155">
          <w:rPr>
            <w:noProof/>
            <w:webHidden/>
          </w:rPr>
          <w:tab/>
        </w:r>
        <w:r w:rsidR="004F0155">
          <w:rPr>
            <w:noProof/>
            <w:webHidden/>
          </w:rPr>
          <w:fldChar w:fldCharType="begin"/>
        </w:r>
        <w:r w:rsidR="004F0155">
          <w:rPr>
            <w:noProof/>
            <w:webHidden/>
          </w:rPr>
          <w:instrText xml:space="preserve"> PAGEREF _Toc535750371 \h </w:instrText>
        </w:r>
        <w:r w:rsidR="004F0155">
          <w:rPr>
            <w:noProof/>
            <w:webHidden/>
          </w:rPr>
        </w:r>
        <w:r w:rsidR="004F0155">
          <w:rPr>
            <w:noProof/>
            <w:webHidden/>
          </w:rPr>
          <w:fldChar w:fldCharType="separate"/>
        </w:r>
        <w:r w:rsidR="00862183">
          <w:rPr>
            <w:noProof/>
            <w:webHidden/>
          </w:rPr>
          <w:t>42</w:t>
        </w:r>
        <w:r w:rsidR="004F0155">
          <w:rPr>
            <w:noProof/>
            <w:webHidden/>
          </w:rPr>
          <w:fldChar w:fldCharType="end"/>
        </w:r>
      </w:hyperlink>
    </w:p>
    <w:p w:rsidR="004F0155" w:rsidRDefault="00CA0901" w:rsidP="00862183">
      <w:pPr>
        <w:pStyle w:val="TableofFigures"/>
        <w:tabs>
          <w:tab w:val="right" w:leader="dot" w:pos="8296"/>
        </w:tabs>
        <w:bidi w:val="0"/>
        <w:spacing w:after="0" w:line="240" w:lineRule="auto"/>
        <w:rPr>
          <w:rFonts w:asciiTheme="minorHAnsi" w:eastAsiaTheme="minorEastAsia" w:hAnsiTheme="minorHAnsi" w:cstheme="minorBidi"/>
          <w:noProof/>
          <w:color w:val="auto"/>
          <w:kern w:val="0"/>
          <w:lang w:bidi="ar-SA"/>
        </w:rPr>
      </w:pPr>
      <w:hyperlink w:anchor="_Toc535750372" w:history="1">
        <w:r w:rsidR="00862183">
          <w:rPr>
            <w:rStyle w:val="Hyperlink"/>
            <w:rFonts w:ascii="Garamond" w:hAnsi="Garamond"/>
            <w:noProof/>
          </w:rPr>
          <w:t>Figure 7 Military and Civil service</w:t>
        </w:r>
        <w:r w:rsidR="004F0155">
          <w:rPr>
            <w:noProof/>
            <w:webHidden/>
          </w:rPr>
          <w:tab/>
        </w:r>
        <w:r w:rsidR="004F0155">
          <w:rPr>
            <w:noProof/>
            <w:webHidden/>
          </w:rPr>
          <w:fldChar w:fldCharType="begin"/>
        </w:r>
        <w:r w:rsidR="004F0155">
          <w:rPr>
            <w:noProof/>
            <w:webHidden/>
          </w:rPr>
          <w:instrText xml:space="preserve"> PAGEREF _Toc535750372 \h </w:instrText>
        </w:r>
        <w:r w:rsidR="004F0155">
          <w:rPr>
            <w:noProof/>
            <w:webHidden/>
          </w:rPr>
        </w:r>
        <w:r w:rsidR="004F0155">
          <w:rPr>
            <w:noProof/>
            <w:webHidden/>
          </w:rPr>
          <w:fldChar w:fldCharType="separate"/>
        </w:r>
        <w:r w:rsidR="00862183">
          <w:rPr>
            <w:noProof/>
            <w:webHidden/>
          </w:rPr>
          <w:t>60</w:t>
        </w:r>
        <w:r w:rsidR="004F0155">
          <w:rPr>
            <w:noProof/>
            <w:webHidden/>
          </w:rPr>
          <w:fldChar w:fldCharType="end"/>
        </w:r>
      </w:hyperlink>
    </w:p>
    <w:p w:rsidR="004F0155" w:rsidRDefault="00CA0901" w:rsidP="00862183">
      <w:pPr>
        <w:pStyle w:val="TableofFigures"/>
        <w:tabs>
          <w:tab w:val="right" w:leader="dot" w:pos="8296"/>
        </w:tabs>
        <w:bidi w:val="0"/>
        <w:spacing w:after="0" w:line="240" w:lineRule="auto"/>
        <w:rPr>
          <w:rFonts w:asciiTheme="minorHAnsi" w:eastAsiaTheme="minorEastAsia" w:hAnsiTheme="minorHAnsi" w:cstheme="minorBidi"/>
          <w:noProof/>
          <w:color w:val="auto"/>
          <w:kern w:val="0"/>
          <w:lang w:bidi="ar-SA"/>
        </w:rPr>
      </w:pPr>
      <w:hyperlink w:anchor="_Toc535750373" w:history="1">
        <w:r w:rsidR="004F0155" w:rsidRPr="00AA5562">
          <w:rPr>
            <w:rStyle w:val="Hyperlink"/>
            <w:rFonts w:ascii="Garamond" w:hAnsi="Garamond"/>
            <w:noProof/>
          </w:rPr>
          <w:t>Figure 8 NTA Staffs</w:t>
        </w:r>
        <w:r w:rsidR="004F0155">
          <w:rPr>
            <w:noProof/>
            <w:webHidden/>
          </w:rPr>
          <w:tab/>
        </w:r>
        <w:r w:rsidR="004F0155">
          <w:rPr>
            <w:noProof/>
            <w:webHidden/>
          </w:rPr>
          <w:fldChar w:fldCharType="begin"/>
        </w:r>
        <w:r w:rsidR="004F0155">
          <w:rPr>
            <w:noProof/>
            <w:webHidden/>
          </w:rPr>
          <w:instrText xml:space="preserve"> PAGEREF _Toc535750373 \h </w:instrText>
        </w:r>
        <w:r w:rsidR="004F0155">
          <w:rPr>
            <w:noProof/>
            <w:webHidden/>
          </w:rPr>
        </w:r>
        <w:r w:rsidR="004F0155">
          <w:rPr>
            <w:noProof/>
            <w:webHidden/>
          </w:rPr>
          <w:fldChar w:fldCharType="separate"/>
        </w:r>
        <w:r w:rsidR="00862183">
          <w:rPr>
            <w:noProof/>
            <w:webHidden/>
          </w:rPr>
          <w:t>61</w:t>
        </w:r>
        <w:r w:rsidR="004F0155">
          <w:rPr>
            <w:noProof/>
            <w:webHidden/>
          </w:rPr>
          <w:fldChar w:fldCharType="end"/>
        </w:r>
      </w:hyperlink>
    </w:p>
    <w:p w:rsidR="004F0155" w:rsidRDefault="00CA0901" w:rsidP="00862183">
      <w:pPr>
        <w:pStyle w:val="TableofFigures"/>
        <w:tabs>
          <w:tab w:val="right" w:leader="dot" w:pos="8296"/>
        </w:tabs>
        <w:bidi w:val="0"/>
        <w:spacing w:after="0" w:line="240" w:lineRule="auto"/>
        <w:rPr>
          <w:rFonts w:asciiTheme="minorHAnsi" w:eastAsiaTheme="minorEastAsia" w:hAnsiTheme="minorHAnsi" w:cstheme="minorBidi"/>
          <w:noProof/>
          <w:color w:val="auto"/>
          <w:kern w:val="0"/>
          <w:lang w:bidi="ar-SA"/>
        </w:rPr>
      </w:pPr>
      <w:hyperlink w:anchor="_Toc535750374" w:history="1">
        <w:r w:rsidR="004F0155" w:rsidRPr="00AA5562">
          <w:rPr>
            <w:rStyle w:val="Hyperlink"/>
            <w:rFonts w:ascii="Garamond" w:hAnsi="Garamond"/>
            <w:noProof/>
          </w:rPr>
          <w:t>Figure</w:t>
        </w:r>
        <w:r w:rsidR="004F0155" w:rsidRPr="00AA5562">
          <w:rPr>
            <w:rStyle w:val="Hyperlink"/>
            <w:rFonts w:ascii="Garamond" w:hAnsi="Garamond"/>
            <w:noProof/>
            <w:rtl/>
          </w:rPr>
          <w:t xml:space="preserve"> </w:t>
        </w:r>
        <w:r w:rsidR="00862183">
          <w:rPr>
            <w:rStyle w:val="Hyperlink"/>
            <w:rFonts w:ascii="Garamond" w:hAnsi="Garamond"/>
            <w:noProof/>
          </w:rPr>
          <w:t xml:space="preserve"> </w:t>
        </w:r>
        <w:r w:rsidR="004F0155" w:rsidRPr="00AA5562">
          <w:rPr>
            <w:rStyle w:val="Hyperlink"/>
            <w:rFonts w:ascii="Garamond" w:hAnsi="Garamond"/>
            <w:noProof/>
            <w:rtl/>
          </w:rPr>
          <w:t>9</w:t>
        </w:r>
        <w:r w:rsidR="00862183">
          <w:rPr>
            <w:rStyle w:val="Hyperlink"/>
            <w:rFonts w:ascii="Garamond" w:hAnsi="Garamond"/>
            <w:noProof/>
          </w:rPr>
          <w:t xml:space="preserve"> </w:t>
        </w:r>
        <w:r w:rsidR="004F0155" w:rsidRPr="00AA5562">
          <w:rPr>
            <w:rStyle w:val="Hyperlink"/>
            <w:rFonts w:ascii="Garamond" w:hAnsi="Garamond"/>
            <w:noProof/>
          </w:rPr>
          <w:t>Government’s Expenditure by Provinces</w:t>
        </w:r>
        <w:r w:rsidR="004F0155">
          <w:rPr>
            <w:noProof/>
            <w:webHidden/>
          </w:rPr>
          <w:tab/>
        </w:r>
        <w:r w:rsidR="004F0155">
          <w:rPr>
            <w:noProof/>
            <w:webHidden/>
          </w:rPr>
          <w:fldChar w:fldCharType="begin"/>
        </w:r>
        <w:r w:rsidR="004F0155">
          <w:rPr>
            <w:noProof/>
            <w:webHidden/>
          </w:rPr>
          <w:instrText xml:space="preserve"> PAGEREF _Toc535750374 \h </w:instrText>
        </w:r>
        <w:r w:rsidR="004F0155">
          <w:rPr>
            <w:noProof/>
            <w:webHidden/>
          </w:rPr>
        </w:r>
        <w:r w:rsidR="004F0155">
          <w:rPr>
            <w:noProof/>
            <w:webHidden/>
          </w:rPr>
          <w:fldChar w:fldCharType="separate"/>
        </w:r>
        <w:r w:rsidR="00862183">
          <w:rPr>
            <w:noProof/>
            <w:webHidden/>
          </w:rPr>
          <w:t>64</w:t>
        </w:r>
        <w:r w:rsidR="004F0155">
          <w:rPr>
            <w:noProof/>
            <w:webHidden/>
          </w:rPr>
          <w:fldChar w:fldCharType="end"/>
        </w:r>
      </w:hyperlink>
    </w:p>
    <w:p w:rsidR="004F0155" w:rsidRDefault="00CA0901" w:rsidP="004F0155">
      <w:pPr>
        <w:pStyle w:val="TableofFigures"/>
        <w:tabs>
          <w:tab w:val="right" w:leader="dot" w:pos="8296"/>
        </w:tabs>
        <w:bidi w:val="0"/>
        <w:spacing w:line="240" w:lineRule="auto"/>
        <w:rPr>
          <w:rFonts w:asciiTheme="minorHAnsi" w:eastAsiaTheme="minorEastAsia" w:hAnsiTheme="minorHAnsi" w:cstheme="minorBidi"/>
          <w:noProof/>
          <w:color w:val="auto"/>
          <w:kern w:val="0"/>
          <w:lang w:bidi="ar-SA"/>
        </w:rPr>
      </w:pPr>
      <w:hyperlink w:anchor="_Toc535750375" w:history="1">
        <w:r w:rsidR="004F0155" w:rsidRPr="00AA5562">
          <w:rPr>
            <w:rStyle w:val="Hyperlink"/>
            <w:rFonts w:ascii="Garamond" w:hAnsi="Garamond"/>
            <w:noProof/>
          </w:rPr>
          <w:t>Figure</w:t>
        </w:r>
        <w:r w:rsidR="00862183">
          <w:rPr>
            <w:rStyle w:val="Hyperlink"/>
            <w:rFonts w:ascii="Garamond" w:hAnsi="Garamond"/>
            <w:noProof/>
          </w:rPr>
          <w:t xml:space="preserve"> </w:t>
        </w:r>
        <w:r w:rsidR="004F0155" w:rsidRPr="00AA5562">
          <w:rPr>
            <w:rStyle w:val="Hyperlink"/>
            <w:rFonts w:ascii="Garamond" w:hAnsi="Garamond"/>
            <w:noProof/>
            <w:rtl/>
          </w:rPr>
          <w:t xml:space="preserve"> 10</w:t>
        </w:r>
        <w:r w:rsidR="004F0155" w:rsidRPr="00AA5562">
          <w:rPr>
            <w:rStyle w:val="Hyperlink"/>
            <w:rFonts w:ascii="Garamond" w:hAnsi="Garamond"/>
            <w:noProof/>
          </w:rPr>
          <w:t>Per Capita Government Expenditure by Provinces</w:t>
        </w:r>
        <w:r w:rsidR="004F0155">
          <w:rPr>
            <w:noProof/>
            <w:webHidden/>
          </w:rPr>
          <w:tab/>
        </w:r>
        <w:r w:rsidR="004F0155">
          <w:rPr>
            <w:noProof/>
            <w:webHidden/>
          </w:rPr>
          <w:fldChar w:fldCharType="begin"/>
        </w:r>
        <w:r w:rsidR="004F0155">
          <w:rPr>
            <w:noProof/>
            <w:webHidden/>
          </w:rPr>
          <w:instrText xml:space="preserve"> PAGEREF _Toc535750375 \h </w:instrText>
        </w:r>
        <w:r w:rsidR="004F0155">
          <w:rPr>
            <w:noProof/>
            <w:webHidden/>
          </w:rPr>
        </w:r>
        <w:r w:rsidR="004F0155">
          <w:rPr>
            <w:noProof/>
            <w:webHidden/>
          </w:rPr>
          <w:fldChar w:fldCharType="separate"/>
        </w:r>
        <w:r w:rsidR="00862183">
          <w:rPr>
            <w:noProof/>
            <w:webHidden/>
          </w:rPr>
          <w:t>66</w:t>
        </w:r>
        <w:r w:rsidR="004F0155">
          <w:rPr>
            <w:noProof/>
            <w:webHidden/>
          </w:rPr>
          <w:fldChar w:fldCharType="end"/>
        </w:r>
      </w:hyperlink>
    </w:p>
    <w:p w:rsidR="0035712C" w:rsidRDefault="004F0155" w:rsidP="004F0155">
      <w:pPr>
        <w:jc w:val="center"/>
      </w:pPr>
      <w:r>
        <w:fldChar w:fldCharType="end"/>
      </w:r>
    </w:p>
    <w:p w:rsidR="0035712C" w:rsidRDefault="0035712C" w:rsidP="0035712C"/>
    <w:p w:rsidR="0035712C" w:rsidRDefault="0035712C" w:rsidP="0035712C"/>
    <w:p w:rsidR="0035712C" w:rsidRDefault="0035712C" w:rsidP="0035712C"/>
    <w:p w:rsidR="0035712C" w:rsidRDefault="0035712C" w:rsidP="0035712C"/>
    <w:p w:rsidR="0035712C" w:rsidRDefault="0035712C" w:rsidP="0035712C"/>
    <w:p w:rsidR="0035712C" w:rsidRDefault="0035712C" w:rsidP="0035712C"/>
    <w:p w:rsidR="00D40FA3" w:rsidRDefault="00D40FA3" w:rsidP="0035712C">
      <w:pPr>
        <w:sectPr w:rsidR="00D40FA3" w:rsidSect="00795BE2">
          <w:footerReference w:type="default" r:id="rId8"/>
          <w:pgSz w:w="11906" w:h="16838" w:code="9"/>
          <w:pgMar w:top="1440" w:right="1800" w:bottom="1440" w:left="1800" w:header="720" w:footer="720" w:gutter="0"/>
          <w:pgNumType w:fmt="lowerRoman"/>
          <w:cols w:space="708"/>
          <w:docGrid w:linePitch="360"/>
        </w:sectPr>
      </w:pPr>
    </w:p>
    <w:p w:rsidR="0035712C" w:rsidRDefault="0035712C" w:rsidP="0035712C"/>
    <w:p w:rsidR="0035712C" w:rsidRDefault="0035712C" w:rsidP="0035712C"/>
    <w:p w:rsidR="0035712C" w:rsidRDefault="0035712C" w:rsidP="0035712C"/>
    <w:p w:rsidR="00D40FA3" w:rsidRDefault="00D40FA3" w:rsidP="004D2078">
      <w:pPr>
        <w:pStyle w:val="Heading1"/>
        <w:rPr>
          <w:rFonts w:eastAsia="Arial"/>
        </w:rPr>
        <w:sectPr w:rsidR="00D40FA3" w:rsidSect="00795BE2">
          <w:pgSz w:w="11906" w:h="16838" w:code="9"/>
          <w:pgMar w:top="1440" w:right="1800" w:bottom="1440" w:left="1800" w:header="720" w:footer="720" w:gutter="0"/>
          <w:pgNumType w:fmt="lowerRoman"/>
          <w:cols w:space="708"/>
          <w:docGrid w:linePitch="360"/>
        </w:sectPr>
      </w:pPr>
      <w:bookmarkStart w:id="0" w:name="_Toc535744252"/>
      <w:bookmarkStart w:id="1" w:name="_Toc535750181"/>
    </w:p>
    <w:p w:rsidR="00B13461" w:rsidRPr="005A49D3" w:rsidRDefault="00B13461" w:rsidP="004D2078">
      <w:pPr>
        <w:pStyle w:val="Heading1"/>
        <w:rPr>
          <w:rFonts w:eastAsia="Arial"/>
        </w:rPr>
      </w:pPr>
      <w:r w:rsidRPr="005A49D3">
        <w:rPr>
          <w:rFonts w:eastAsia="Arial"/>
        </w:rPr>
        <w:lastRenderedPageBreak/>
        <w:t>Budget Strategy and Outlook</w:t>
      </w:r>
      <w:bookmarkEnd w:id="0"/>
      <w:bookmarkEnd w:id="1"/>
    </w:p>
    <w:p w:rsidR="00B13461" w:rsidRPr="005A49D3" w:rsidRDefault="00B13461" w:rsidP="004D2078">
      <w:pPr>
        <w:pStyle w:val="Heading2"/>
        <w:rPr>
          <w:rFonts w:eastAsia="Arial"/>
        </w:rPr>
      </w:pPr>
      <w:bookmarkStart w:id="2" w:name="_Toc535744253"/>
      <w:bookmarkStart w:id="3" w:name="_Toc535750182"/>
      <w:r w:rsidRPr="005A49D3">
        <w:rPr>
          <w:rFonts w:eastAsia="Arial"/>
        </w:rPr>
        <w:t>Budget Overview</w:t>
      </w:r>
      <w:bookmarkEnd w:id="2"/>
      <w:bookmarkEnd w:id="3"/>
    </w:p>
    <w:p w:rsidR="00B13461" w:rsidRPr="000615B8" w:rsidRDefault="005F3B5A" w:rsidP="000615B8">
      <w:pPr>
        <w:spacing w:line="275" w:lineRule="auto"/>
        <w:ind w:right="366"/>
        <w:jc w:val="both"/>
        <w:rPr>
          <w:rFonts w:eastAsia="Garamond"/>
          <w:szCs w:val="22"/>
        </w:rPr>
      </w:pPr>
      <w:r w:rsidRPr="000615B8">
        <w:rPr>
          <w:rFonts w:eastAsia="Garamond"/>
          <w:szCs w:val="22"/>
        </w:rPr>
        <w:t xml:space="preserve">The </w:t>
      </w:r>
      <w:r w:rsidR="00B13461" w:rsidRPr="000615B8">
        <w:rPr>
          <w:rFonts w:eastAsia="Garamond"/>
          <w:szCs w:val="22"/>
        </w:rPr>
        <w:t>1398</w:t>
      </w:r>
      <w:r w:rsidRPr="000615B8">
        <w:rPr>
          <w:rFonts w:eastAsia="Garamond"/>
          <w:szCs w:val="22"/>
        </w:rPr>
        <w:t xml:space="preserve"> budget</w:t>
      </w:r>
      <w:r w:rsidR="00B13461" w:rsidRPr="000615B8">
        <w:rPr>
          <w:rFonts w:eastAsia="Garamond"/>
          <w:szCs w:val="22"/>
        </w:rPr>
        <w:t xml:space="preserve"> is prepared </w:t>
      </w:r>
      <w:r w:rsidRPr="000615B8">
        <w:rPr>
          <w:rFonts w:eastAsia="Garamond"/>
          <w:szCs w:val="22"/>
        </w:rPr>
        <w:t xml:space="preserve">in regard with </w:t>
      </w:r>
      <w:r w:rsidR="00B13461" w:rsidRPr="000615B8">
        <w:rPr>
          <w:rFonts w:eastAsia="Garamond"/>
          <w:szCs w:val="22"/>
        </w:rPr>
        <w:t>sustaining the previous reforms</w:t>
      </w:r>
      <w:r w:rsidRPr="000615B8">
        <w:rPr>
          <w:rFonts w:eastAsia="Garamond"/>
          <w:szCs w:val="22"/>
        </w:rPr>
        <w:t xml:space="preserve"> took place in FY1397 also with a focus on improvements </w:t>
      </w:r>
      <w:r w:rsidR="00774D0A" w:rsidRPr="000615B8">
        <w:rPr>
          <w:rFonts w:eastAsia="Garamond"/>
          <w:szCs w:val="22"/>
        </w:rPr>
        <w:t>in</w:t>
      </w:r>
      <w:r w:rsidRPr="000615B8">
        <w:rPr>
          <w:rFonts w:eastAsia="Garamond"/>
          <w:szCs w:val="22"/>
        </w:rPr>
        <w:t xml:space="preserve"> government fiscal planning</w:t>
      </w:r>
      <w:r w:rsidR="00B13461" w:rsidRPr="000615B8">
        <w:rPr>
          <w:rFonts w:eastAsia="Garamond"/>
          <w:szCs w:val="22"/>
        </w:rPr>
        <w:t xml:space="preserve">. Our effort is to make sure enough attention is given to the improvement of the fiscal affairs according to the evaluation standards that has previously taken place, and every year we should witness improvement over the previous year. Similarly, budget of the fiscal year 1398 is prepared according to </w:t>
      </w:r>
      <w:r w:rsidR="00774D0A" w:rsidRPr="000615B8">
        <w:rPr>
          <w:rFonts w:eastAsia="Garamond"/>
          <w:szCs w:val="22"/>
        </w:rPr>
        <w:t>the international standards and presents a consolidated</w:t>
      </w:r>
      <w:r w:rsidR="003E67A2" w:rsidRPr="000615B8">
        <w:rPr>
          <w:rFonts w:eastAsia="Garamond"/>
          <w:szCs w:val="22"/>
        </w:rPr>
        <w:t xml:space="preserve"> </w:t>
      </w:r>
      <w:r w:rsidR="00774D0A" w:rsidRPr="000615B8">
        <w:rPr>
          <w:rFonts w:eastAsia="Garamond"/>
          <w:szCs w:val="22"/>
        </w:rPr>
        <w:t>b</w:t>
      </w:r>
      <w:r w:rsidR="00B13461" w:rsidRPr="000615B8">
        <w:rPr>
          <w:rFonts w:eastAsia="Garamond"/>
          <w:szCs w:val="22"/>
        </w:rPr>
        <w:t xml:space="preserve">udget that includes the </w:t>
      </w:r>
      <w:r w:rsidR="00774D0A" w:rsidRPr="000615B8">
        <w:rPr>
          <w:rFonts w:eastAsia="Garamond"/>
          <w:szCs w:val="22"/>
        </w:rPr>
        <w:t>o</w:t>
      </w:r>
      <w:r w:rsidR="00B13461" w:rsidRPr="000615B8">
        <w:rPr>
          <w:rFonts w:eastAsia="Garamond"/>
          <w:szCs w:val="22"/>
        </w:rPr>
        <w:t xml:space="preserve">perating and </w:t>
      </w:r>
      <w:r w:rsidR="00774D0A" w:rsidRPr="000615B8">
        <w:rPr>
          <w:rFonts w:eastAsia="Garamond"/>
          <w:szCs w:val="22"/>
        </w:rPr>
        <w:t>d</w:t>
      </w:r>
      <w:r w:rsidR="00B13461" w:rsidRPr="000615B8">
        <w:rPr>
          <w:rFonts w:eastAsia="Garamond"/>
          <w:szCs w:val="22"/>
        </w:rPr>
        <w:t xml:space="preserve">evelopment </w:t>
      </w:r>
      <w:r w:rsidR="00774D0A" w:rsidRPr="000615B8">
        <w:rPr>
          <w:rFonts w:eastAsia="Garamond"/>
          <w:szCs w:val="22"/>
        </w:rPr>
        <w:t>b</w:t>
      </w:r>
      <w:r w:rsidR="00B13461" w:rsidRPr="000615B8">
        <w:rPr>
          <w:rFonts w:eastAsia="Garamond"/>
          <w:szCs w:val="22"/>
        </w:rPr>
        <w:t>udgets.</w:t>
      </w:r>
    </w:p>
    <w:p w:rsidR="00974BA7" w:rsidRPr="000615B8" w:rsidRDefault="00B13461" w:rsidP="000615B8">
      <w:pPr>
        <w:spacing w:line="275" w:lineRule="auto"/>
        <w:ind w:right="366"/>
        <w:jc w:val="both"/>
        <w:rPr>
          <w:rFonts w:eastAsia="Garamond"/>
          <w:szCs w:val="22"/>
        </w:rPr>
      </w:pPr>
      <w:r w:rsidRPr="000615B8">
        <w:rPr>
          <w:rFonts w:eastAsia="Garamond"/>
          <w:szCs w:val="22"/>
        </w:rPr>
        <w:t xml:space="preserve">Government of Afghanistan is committed to a transparent, responsive and effective management of the National Budget and has done many efforts in this regard. Transparency, realistic planning and effective expenditure of the National Budget has added in </w:t>
      </w:r>
      <w:r w:rsidR="003E67A2" w:rsidRPr="000615B8">
        <w:rPr>
          <w:rFonts w:eastAsia="Garamond"/>
          <w:szCs w:val="22"/>
        </w:rPr>
        <w:t>its credibility</w:t>
      </w:r>
      <w:r w:rsidRPr="000615B8">
        <w:rPr>
          <w:rFonts w:eastAsia="Garamond"/>
          <w:szCs w:val="22"/>
        </w:rPr>
        <w:t xml:space="preserve"> and empowers the government to take </w:t>
      </w:r>
      <w:r w:rsidR="003E67A2" w:rsidRPr="000615B8">
        <w:rPr>
          <w:rFonts w:eastAsia="Garamond"/>
          <w:szCs w:val="22"/>
        </w:rPr>
        <w:t>use</w:t>
      </w:r>
      <w:r w:rsidRPr="000615B8">
        <w:rPr>
          <w:rFonts w:eastAsia="Garamond"/>
          <w:szCs w:val="22"/>
        </w:rPr>
        <w:t xml:space="preserve">ful and timely decisions on fiscal </w:t>
      </w:r>
      <w:r w:rsidR="003E67A2" w:rsidRPr="000615B8">
        <w:rPr>
          <w:rFonts w:eastAsia="Garamond"/>
          <w:szCs w:val="22"/>
        </w:rPr>
        <w:t>space</w:t>
      </w:r>
      <w:r w:rsidRPr="000615B8">
        <w:rPr>
          <w:rFonts w:eastAsia="Garamond"/>
          <w:szCs w:val="22"/>
        </w:rPr>
        <w:t xml:space="preserve">, given that, new investments take place in a better and more targeted manner. </w:t>
      </w:r>
      <w:r w:rsidR="003E67A2" w:rsidRPr="000615B8">
        <w:rPr>
          <w:rFonts w:eastAsia="Garamond"/>
          <w:szCs w:val="22"/>
        </w:rPr>
        <w:t xml:space="preserve">Moreover, the government will take some effective measures to make the existing projects more targeted via identification of poor performing projects or projects with a low priority and transfer of funds from such project to those which can better address the government policies. </w:t>
      </w:r>
    </w:p>
    <w:p w:rsidR="00B13461" w:rsidRPr="000615B8" w:rsidRDefault="00974BA7" w:rsidP="000615B8">
      <w:pPr>
        <w:spacing w:line="275" w:lineRule="auto"/>
        <w:ind w:right="366"/>
        <w:jc w:val="both"/>
        <w:rPr>
          <w:rFonts w:eastAsia="Garamond"/>
          <w:szCs w:val="22"/>
        </w:rPr>
      </w:pPr>
      <w:r w:rsidRPr="000615B8">
        <w:rPr>
          <w:rFonts w:eastAsia="Garamond"/>
          <w:szCs w:val="22"/>
        </w:rPr>
        <w:t>In addition,</w:t>
      </w:r>
      <w:r w:rsidR="00B13461" w:rsidRPr="000615B8">
        <w:rPr>
          <w:rFonts w:eastAsia="Garamond"/>
          <w:szCs w:val="22"/>
        </w:rPr>
        <w:t xml:space="preserve"> </w:t>
      </w:r>
      <w:r w:rsidRPr="000615B8">
        <w:rPr>
          <w:rFonts w:eastAsia="Garamond"/>
          <w:szCs w:val="22"/>
        </w:rPr>
        <w:t xml:space="preserve">in order to present a realistic picture of the future, </w:t>
      </w:r>
      <w:r w:rsidR="00B13461" w:rsidRPr="000615B8">
        <w:rPr>
          <w:rFonts w:eastAsia="Garamond"/>
          <w:szCs w:val="22"/>
        </w:rPr>
        <w:t xml:space="preserve">the multi-year </w:t>
      </w:r>
      <w:r w:rsidRPr="000615B8">
        <w:rPr>
          <w:rFonts w:eastAsia="Garamond"/>
          <w:szCs w:val="22"/>
        </w:rPr>
        <w:t>estimates of the budget is</w:t>
      </w:r>
      <w:r w:rsidR="00B13461" w:rsidRPr="000615B8">
        <w:rPr>
          <w:rFonts w:eastAsia="Garamond"/>
          <w:szCs w:val="22"/>
        </w:rPr>
        <w:t xml:space="preserve"> prepared through</w:t>
      </w:r>
      <w:r w:rsidRPr="000615B8">
        <w:rPr>
          <w:rFonts w:eastAsia="Garamond"/>
          <w:szCs w:val="22"/>
        </w:rPr>
        <w:t xml:space="preserve"> credible approaches</w:t>
      </w:r>
      <w:r w:rsidR="00B13461" w:rsidRPr="000615B8">
        <w:rPr>
          <w:rFonts w:eastAsia="Garamond"/>
          <w:szCs w:val="22"/>
        </w:rPr>
        <w:t>.</w:t>
      </w:r>
    </w:p>
    <w:p w:rsidR="00B13461" w:rsidRPr="000615B8" w:rsidRDefault="00B13461" w:rsidP="00542EFA">
      <w:pPr>
        <w:pStyle w:val="Heading3"/>
        <w:rPr>
          <w:rFonts w:eastAsia="Garamond"/>
        </w:rPr>
      </w:pPr>
      <w:bookmarkStart w:id="4" w:name="_Toc535744254"/>
      <w:bookmarkStart w:id="5" w:name="_Toc535750183"/>
      <w:r w:rsidRPr="000615B8">
        <w:rPr>
          <w:rFonts w:eastAsia="Garamond"/>
        </w:rPr>
        <w:t>Budget Outlook</w:t>
      </w:r>
      <w:bookmarkEnd w:id="4"/>
      <w:bookmarkEnd w:id="5"/>
    </w:p>
    <w:p w:rsidR="00B13461" w:rsidRPr="000615B8" w:rsidRDefault="00B13461" w:rsidP="000615B8">
      <w:pPr>
        <w:spacing w:line="275" w:lineRule="auto"/>
        <w:ind w:right="366"/>
        <w:jc w:val="both"/>
        <w:rPr>
          <w:rFonts w:eastAsia="Garamond"/>
          <w:szCs w:val="22"/>
        </w:rPr>
      </w:pPr>
      <w:r w:rsidRPr="000615B8">
        <w:rPr>
          <w:rFonts w:eastAsia="Garamond"/>
          <w:szCs w:val="22"/>
        </w:rPr>
        <w:t>The outlook for Afghanistan is characterized by significant economic and fiscal risks. The 1398 budget presents a medium-term fiscal outlook that shows domestic revenue continuing to improve but a fiscal gap emerging in the next four years as current commitments from international development partners come to an end.</w:t>
      </w:r>
    </w:p>
    <w:p w:rsidR="00B13461" w:rsidRPr="000615B8" w:rsidRDefault="00B13461" w:rsidP="000615B8">
      <w:pPr>
        <w:spacing w:line="275" w:lineRule="auto"/>
        <w:ind w:right="366"/>
        <w:jc w:val="both"/>
        <w:rPr>
          <w:rFonts w:eastAsia="Garamond"/>
          <w:szCs w:val="22"/>
        </w:rPr>
      </w:pPr>
      <w:r w:rsidRPr="000615B8">
        <w:rPr>
          <w:rFonts w:eastAsia="Garamond"/>
          <w:szCs w:val="22"/>
        </w:rPr>
        <w:t xml:space="preserve">Total expenditure on the consolidated budget for 1398 is estimated to be AFN399 billion, representing 25 per cent of GDP. The operating budget, which is used for financing government operations including the civil services and national programs, comprises 69 per cent of the consolidated budget. </w:t>
      </w:r>
    </w:p>
    <w:p w:rsidR="00B13461" w:rsidRPr="000615B8" w:rsidRDefault="00B13461" w:rsidP="000615B8">
      <w:pPr>
        <w:spacing w:line="275" w:lineRule="auto"/>
        <w:ind w:right="366"/>
        <w:jc w:val="both"/>
        <w:rPr>
          <w:rFonts w:eastAsia="Garamond"/>
          <w:szCs w:val="22"/>
        </w:rPr>
      </w:pPr>
      <w:r w:rsidRPr="000615B8">
        <w:rPr>
          <w:rFonts w:eastAsia="Garamond"/>
          <w:szCs w:val="22"/>
        </w:rPr>
        <w:t xml:space="preserve">The operating budget of the fiscal year 1398 is AFN275 billion that shows a 1.7 percent increase as compared to the budget of the fiscal year 1397. Also, the development budget of the fiscal year 1398 is planned to be AFN124 billion and </w:t>
      </w:r>
      <w:r w:rsidR="00974BA7" w:rsidRPr="000615B8">
        <w:rPr>
          <w:rFonts w:eastAsia="Garamond"/>
          <w:szCs w:val="22"/>
        </w:rPr>
        <w:t>is prepared considering the available resources and spending capacity in line ministries</w:t>
      </w:r>
      <w:r w:rsidRPr="000615B8">
        <w:rPr>
          <w:rFonts w:eastAsia="Garamond"/>
          <w:szCs w:val="22"/>
        </w:rPr>
        <w:t>. It should be mentioned that the development expenditures of the fiscal year 1397 has reached AFN127.5 billion by the end of the year which means that the development budget of 1398 has been considered realistically.</w:t>
      </w:r>
    </w:p>
    <w:p w:rsidR="00B13461" w:rsidRPr="000615B8" w:rsidRDefault="00B13461" w:rsidP="000615B8">
      <w:pPr>
        <w:spacing w:line="275" w:lineRule="auto"/>
        <w:ind w:right="366"/>
        <w:jc w:val="both"/>
        <w:rPr>
          <w:rFonts w:eastAsia="Garamond"/>
          <w:szCs w:val="22"/>
        </w:rPr>
      </w:pPr>
      <w:r w:rsidRPr="000615B8">
        <w:rPr>
          <w:rFonts w:eastAsia="Garamond"/>
          <w:szCs w:val="22"/>
        </w:rPr>
        <w:t xml:space="preserve">Total revenue of the fiscal year 1398 is AFN387 billion, from </w:t>
      </w:r>
      <w:r w:rsidR="00974BA7" w:rsidRPr="000615B8">
        <w:rPr>
          <w:rFonts w:eastAsia="Garamond"/>
          <w:szCs w:val="22"/>
        </w:rPr>
        <w:t>which</w:t>
      </w:r>
      <w:r w:rsidRPr="000615B8">
        <w:rPr>
          <w:rFonts w:eastAsia="Garamond"/>
          <w:szCs w:val="22"/>
        </w:rPr>
        <w:t xml:space="preserve"> AFN188 billion is the domestic revenue and AFN199 billion is provided through </w:t>
      </w:r>
      <w:r w:rsidR="004D2078" w:rsidRPr="000615B8">
        <w:rPr>
          <w:rFonts w:eastAsia="Garamond"/>
          <w:szCs w:val="22"/>
        </w:rPr>
        <w:t>foreign aid</w:t>
      </w:r>
      <w:r w:rsidR="00974BA7" w:rsidRPr="000615B8">
        <w:rPr>
          <w:rFonts w:eastAsia="Garamond"/>
          <w:szCs w:val="22"/>
        </w:rPr>
        <w:t>s</w:t>
      </w:r>
      <w:r w:rsidRPr="000615B8">
        <w:rPr>
          <w:rFonts w:eastAsia="Garamond"/>
          <w:szCs w:val="22"/>
        </w:rPr>
        <w:t xml:space="preserve">. In attention to the above statistics, about (51%) of the financing resources are still financed through external aids that shows Afghanistan’s dependency on foreign aids. On the other hand, it should be </w:t>
      </w:r>
      <w:r w:rsidR="00911600" w:rsidRPr="000615B8">
        <w:rPr>
          <w:rFonts w:eastAsia="Garamond"/>
          <w:szCs w:val="22"/>
        </w:rPr>
        <w:t>mentioned</w:t>
      </w:r>
      <w:r w:rsidRPr="000615B8">
        <w:rPr>
          <w:rFonts w:eastAsia="Garamond"/>
          <w:szCs w:val="22"/>
        </w:rPr>
        <w:t xml:space="preserve"> that the domestic revenue is improving and an increase of 7.7 percent is expected as compared to 1397. The domestic revenue</w:t>
      </w:r>
      <w:r w:rsidR="00911600" w:rsidRPr="000615B8">
        <w:rPr>
          <w:rFonts w:eastAsia="Garamond"/>
          <w:szCs w:val="22"/>
        </w:rPr>
        <w:t xml:space="preserve"> target</w:t>
      </w:r>
      <w:r w:rsidRPr="000615B8">
        <w:rPr>
          <w:rFonts w:eastAsia="Garamond"/>
          <w:szCs w:val="22"/>
        </w:rPr>
        <w:t xml:space="preserve"> in the year 1398 </w:t>
      </w:r>
      <w:r w:rsidR="00911600" w:rsidRPr="000615B8">
        <w:rPr>
          <w:rFonts w:eastAsia="Garamond"/>
          <w:szCs w:val="22"/>
        </w:rPr>
        <w:t>considering</w:t>
      </w:r>
      <w:r w:rsidRPr="000615B8">
        <w:rPr>
          <w:rFonts w:eastAsia="Garamond"/>
          <w:szCs w:val="22"/>
        </w:rPr>
        <w:t xml:space="preserve"> the upcoming political events (Parliamentary and Presidential elections)</w:t>
      </w:r>
      <w:r w:rsidR="00911600" w:rsidRPr="000615B8">
        <w:rPr>
          <w:rFonts w:eastAsia="Garamond"/>
          <w:szCs w:val="22"/>
        </w:rPr>
        <w:t xml:space="preserve"> is estimated conservatively</w:t>
      </w:r>
      <w:r w:rsidRPr="000615B8">
        <w:rPr>
          <w:rFonts w:eastAsia="Garamond"/>
          <w:szCs w:val="22"/>
        </w:rPr>
        <w:t xml:space="preserve">. Unlike the domestic revenue, the foreign aids is decreasing and in the </w:t>
      </w:r>
      <w:r w:rsidR="00911600" w:rsidRPr="000615B8">
        <w:rPr>
          <w:rFonts w:eastAsia="Garamond"/>
          <w:szCs w:val="22"/>
        </w:rPr>
        <w:t>FY</w:t>
      </w:r>
      <w:r w:rsidRPr="000615B8">
        <w:rPr>
          <w:rFonts w:eastAsia="Garamond"/>
          <w:szCs w:val="22"/>
        </w:rPr>
        <w:t xml:space="preserve"> </w:t>
      </w:r>
      <w:r w:rsidRPr="000615B8">
        <w:rPr>
          <w:rFonts w:eastAsia="Garamond"/>
          <w:szCs w:val="22"/>
        </w:rPr>
        <w:lastRenderedPageBreak/>
        <w:t xml:space="preserve">1398 it shows a decrease of about 11 percent as compared to </w:t>
      </w:r>
      <w:r w:rsidR="00911600" w:rsidRPr="000615B8">
        <w:rPr>
          <w:rFonts w:eastAsia="Garamond"/>
          <w:szCs w:val="22"/>
        </w:rPr>
        <w:t>FY</w:t>
      </w:r>
      <w:r w:rsidRPr="000615B8">
        <w:rPr>
          <w:rFonts w:eastAsia="Garamond"/>
          <w:szCs w:val="22"/>
        </w:rPr>
        <w:t>1397 and in the mid-term this will cause an increased fiscal pressure on the financial situation.</w:t>
      </w:r>
    </w:p>
    <w:p w:rsidR="00911600" w:rsidRPr="00184CDF" w:rsidRDefault="00911600" w:rsidP="000615B8">
      <w:pPr>
        <w:spacing w:line="275" w:lineRule="auto"/>
        <w:ind w:right="366"/>
        <w:jc w:val="both"/>
      </w:pPr>
      <w:r w:rsidRPr="000615B8">
        <w:rPr>
          <w:rFonts w:eastAsia="Garamond"/>
          <w:szCs w:val="22"/>
        </w:rPr>
        <w:t xml:space="preserve">However, we know that the government has always been striving to fit the expenditures in the planned revenue in order to keep the budget deficit low, therefore, in the fiscal year 1398 the budget deficit is about AFN12.3 billion which forms the 0.8 percent of the GDP and is set in a manageable level. </w:t>
      </w:r>
    </w:p>
    <w:p w:rsidR="00911600" w:rsidRPr="005A49D3" w:rsidRDefault="00911600" w:rsidP="00911600">
      <w:pPr>
        <w:spacing w:line="276" w:lineRule="auto"/>
        <w:ind w:right="26"/>
        <w:jc w:val="both"/>
        <w:rPr>
          <w:rFonts w:eastAsia="Garamond"/>
          <w:szCs w:val="22"/>
        </w:rPr>
      </w:pPr>
    </w:p>
    <w:p w:rsidR="00687185" w:rsidRPr="005A49D3" w:rsidRDefault="00687185" w:rsidP="00B13461">
      <w:pPr>
        <w:spacing w:line="276" w:lineRule="auto"/>
        <w:ind w:right="346"/>
        <w:jc w:val="both"/>
        <w:rPr>
          <w:rFonts w:eastAsia="Garamond"/>
          <w:szCs w:val="22"/>
        </w:rPr>
        <w:sectPr w:rsidR="00687185" w:rsidRPr="005A49D3" w:rsidSect="00D40FA3">
          <w:pgSz w:w="11906" w:h="16838" w:code="9"/>
          <w:pgMar w:top="1440" w:right="1800" w:bottom="1440" w:left="1800" w:header="720" w:footer="720" w:gutter="0"/>
          <w:pgNumType w:start="1"/>
          <w:cols w:space="708"/>
          <w:docGrid w:linePitch="360"/>
        </w:sectPr>
      </w:pPr>
    </w:p>
    <w:p w:rsidR="00795BE2" w:rsidRPr="004504AC" w:rsidRDefault="004504AC" w:rsidP="004504AC">
      <w:pPr>
        <w:pStyle w:val="Caption"/>
        <w:bidi w:val="0"/>
        <w:jc w:val="left"/>
        <w:rPr>
          <w:rFonts w:ascii="Garamond" w:hAnsi="Garamond"/>
          <w:sz w:val="22"/>
          <w:szCs w:val="22"/>
        </w:rPr>
      </w:pPr>
      <w:bookmarkStart w:id="6" w:name="_Toc535750262"/>
      <w:r w:rsidRPr="004504AC">
        <w:rPr>
          <w:rFonts w:ascii="Garamond" w:hAnsi="Garamond"/>
          <w:sz w:val="22"/>
          <w:szCs w:val="22"/>
        </w:rPr>
        <w:lastRenderedPageBreak/>
        <w:t xml:space="preserve">Table </w:t>
      </w:r>
      <w:r w:rsidRPr="004504AC">
        <w:rPr>
          <w:rFonts w:ascii="Garamond" w:hAnsi="Garamond"/>
          <w:sz w:val="22"/>
          <w:szCs w:val="22"/>
        </w:rPr>
        <w:fldChar w:fldCharType="begin"/>
      </w:r>
      <w:r w:rsidRPr="004504AC">
        <w:rPr>
          <w:rFonts w:ascii="Garamond" w:hAnsi="Garamond"/>
          <w:sz w:val="22"/>
          <w:szCs w:val="22"/>
        </w:rPr>
        <w:instrText xml:space="preserve"> SEQ Table \* ARABIC </w:instrText>
      </w:r>
      <w:r w:rsidRPr="004504AC">
        <w:rPr>
          <w:rFonts w:ascii="Garamond" w:hAnsi="Garamond"/>
          <w:sz w:val="22"/>
          <w:szCs w:val="22"/>
        </w:rPr>
        <w:fldChar w:fldCharType="separate"/>
      </w:r>
      <w:r w:rsidR="00862183">
        <w:rPr>
          <w:rFonts w:ascii="Garamond" w:hAnsi="Garamond"/>
          <w:noProof/>
          <w:sz w:val="22"/>
          <w:szCs w:val="22"/>
        </w:rPr>
        <w:t>1</w:t>
      </w:r>
      <w:r w:rsidRPr="004504AC">
        <w:rPr>
          <w:rFonts w:ascii="Garamond" w:hAnsi="Garamond"/>
          <w:sz w:val="22"/>
          <w:szCs w:val="22"/>
        </w:rPr>
        <w:fldChar w:fldCharType="end"/>
      </w:r>
      <w:r w:rsidRPr="004504AC">
        <w:rPr>
          <w:rFonts w:ascii="Garamond" w:hAnsi="Garamond"/>
          <w:sz w:val="22"/>
          <w:szCs w:val="22"/>
        </w:rPr>
        <w:t>- (Budget summary and financing resources 1397- 1401)</w:t>
      </w:r>
      <w:bookmarkEnd w:id="6"/>
    </w:p>
    <w:tbl>
      <w:tblPr>
        <w:tblW w:w="5000" w:type="pct"/>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924"/>
        <w:gridCol w:w="808"/>
        <w:gridCol w:w="1852"/>
        <w:gridCol w:w="1662"/>
        <w:gridCol w:w="1976"/>
        <w:gridCol w:w="1976"/>
        <w:gridCol w:w="1976"/>
      </w:tblGrid>
      <w:tr w:rsidR="00795BE2" w:rsidRPr="005A49D3" w:rsidTr="00795BE2">
        <w:trPr>
          <w:trHeight w:val="432"/>
          <w:tblHeader/>
          <w:jc w:val="center"/>
        </w:trPr>
        <w:tc>
          <w:tcPr>
            <w:tcW w:w="1384" w:type="pct"/>
            <w:vMerge w:val="restart"/>
            <w:tcBorders>
              <w:top w:val="single" w:sz="4" w:space="0" w:color="auto"/>
              <w:bottom w:val="nil"/>
            </w:tcBorders>
            <w:shd w:val="clear" w:color="auto" w:fill="auto"/>
            <w:noWrap/>
            <w:vAlign w:val="bottom"/>
            <w:hideMark/>
          </w:tcPr>
          <w:p w:rsidR="00795BE2" w:rsidRPr="005A49D3" w:rsidRDefault="00795BE2" w:rsidP="00B13461">
            <w:pPr>
              <w:jc w:val="center"/>
              <w:rPr>
                <w:rFonts w:eastAsia="Times New Roman"/>
                <w:b/>
                <w:bCs/>
                <w:szCs w:val="22"/>
                <w:rtl/>
              </w:rPr>
            </w:pPr>
          </w:p>
          <w:p w:rsidR="00795BE2" w:rsidRPr="005A49D3" w:rsidRDefault="00795BE2" w:rsidP="00B13461">
            <w:pPr>
              <w:jc w:val="center"/>
              <w:rPr>
                <w:rFonts w:eastAsia="Times New Roman"/>
                <w:b/>
                <w:bCs/>
                <w:szCs w:val="22"/>
              </w:rPr>
            </w:pPr>
          </w:p>
        </w:tc>
        <w:tc>
          <w:tcPr>
            <w:tcW w:w="285" w:type="pct"/>
            <w:tcBorders>
              <w:top w:val="single" w:sz="4" w:space="0" w:color="auto"/>
              <w:bottom w:val="nil"/>
            </w:tcBorders>
          </w:tcPr>
          <w:p w:rsidR="00795BE2" w:rsidRPr="005A49D3" w:rsidRDefault="00795BE2" w:rsidP="00B13461">
            <w:pPr>
              <w:jc w:val="center"/>
              <w:rPr>
                <w:rFonts w:eastAsia="Times New Roman"/>
                <w:b/>
                <w:bCs/>
                <w:szCs w:val="22"/>
              </w:rPr>
            </w:pPr>
          </w:p>
        </w:tc>
        <w:tc>
          <w:tcPr>
            <w:tcW w:w="653" w:type="pct"/>
            <w:tcBorders>
              <w:top w:val="single" w:sz="4" w:space="0" w:color="auto"/>
              <w:bottom w:val="nil"/>
            </w:tcBorders>
            <w:shd w:val="clear" w:color="auto" w:fill="auto"/>
            <w:noWrap/>
            <w:vAlign w:val="bottom"/>
            <w:hideMark/>
          </w:tcPr>
          <w:p w:rsidR="00795BE2" w:rsidRPr="005A49D3" w:rsidRDefault="00795BE2" w:rsidP="00B13461">
            <w:pPr>
              <w:jc w:val="center"/>
              <w:rPr>
                <w:rFonts w:eastAsia="Times New Roman"/>
                <w:b/>
                <w:bCs/>
                <w:szCs w:val="22"/>
              </w:rPr>
            </w:pPr>
            <w:r w:rsidRPr="005A49D3">
              <w:rPr>
                <w:rFonts w:eastAsia="Times New Roman"/>
                <w:b/>
                <w:bCs/>
                <w:szCs w:val="22"/>
              </w:rPr>
              <w:t>1397</w:t>
            </w:r>
          </w:p>
        </w:tc>
        <w:tc>
          <w:tcPr>
            <w:tcW w:w="586" w:type="pct"/>
            <w:tcBorders>
              <w:top w:val="single" w:sz="4" w:space="0" w:color="auto"/>
              <w:bottom w:val="nil"/>
            </w:tcBorders>
            <w:shd w:val="clear" w:color="auto" w:fill="auto"/>
            <w:noWrap/>
            <w:vAlign w:val="bottom"/>
            <w:hideMark/>
          </w:tcPr>
          <w:p w:rsidR="00795BE2" w:rsidRPr="005A49D3" w:rsidRDefault="00795BE2" w:rsidP="00B13461">
            <w:pPr>
              <w:jc w:val="center"/>
              <w:rPr>
                <w:rFonts w:eastAsia="Times New Roman"/>
                <w:b/>
                <w:bCs/>
                <w:szCs w:val="22"/>
              </w:rPr>
            </w:pPr>
            <w:r w:rsidRPr="005A49D3">
              <w:rPr>
                <w:rFonts w:eastAsia="Times New Roman"/>
                <w:b/>
                <w:bCs/>
                <w:szCs w:val="22"/>
              </w:rPr>
              <w:t>1398</w:t>
            </w:r>
          </w:p>
        </w:tc>
        <w:tc>
          <w:tcPr>
            <w:tcW w:w="697" w:type="pct"/>
            <w:tcBorders>
              <w:top w:val="single" w:sz="4" w:space="0" w:color="auto"/>
              <w:bottom w:val="nil"/>
            </w:tcBorders>
            <w:shd w:val="clear" w:color="auto" w:fill="auto"/>
            <w:noWrap/>
            <w:vAlign w:val="bottom"/>
            <w:hideMark/>
          </w:tcPr>
          <w:p w:rsidR="00795BE2" w:rsidRPr="005A49D3" w:rsidRDefault="00795BE2" w:rsidP="00B13461">
            <w:pPr>
              <w:jc w:val="center"/>
              <w:rPr>
                <w:rFonts w:eastAsia="Times New Roman"/>
                <w:b/>
                <w:bCs/>
                <w:szCs w:val="22"/>
              </w:rPr>
            </w:pPr>
            <w:r w:rsidRPr="005A49D3">
              <w:rPr>
                <w:rFonts w:eastAsia="Times New Roman"/>
                <w:b/>
                <w:bCs/>
                <w:szCs w:val="22"/>
              </w:rPr>
              <w:t>1399</w:t>
            </w:r>
          </w:p>
        </w:tc>
        <w:tc>
          <w:tcPr>
            <w:tcW w:w="697" w:type="pct"/>
            <w:tcBorders>
              <w:top w:val="single" w:sz="4" w:space="0" w:color="auto"/>
              <w:bottom w:val="nil"/>
            </w:tcBorders>
            <w:shd w:val="clear" w:color="auto" w:fill="auto"/>
            <w:noWrap/>
            <w:vAlign w:val="bottom"/>
            <w:hideMark/>
          </w:tcPr>
          <w:p w:rsidR="00795BE2" w:rsidRPr="005A49D3" w:rsidRDefault="00795BE2" w:rsidP="00B13461">
            <w:pPr>
              <w:jc w:val="center"/>
              <w:rPr>
                <w:rFonts w:eastAsia="Times New Roman"/>
                <w:b/>
                <w:bCs/>
                <w:szCs w:val="22"/>
              </w:rPr>
            </w:pPr>
            <w:r w:rsidRPr="005A49D3">
              <w:rPr>
                <w:rFonts w:eastAsia="Times New Roman"/>
                <w:b/>
                <w:bCs/>
                <w:szCs w:val="22"/>
              </w:rPr>
              <w:t>1400</w:t>
            </w:r>
          </w:p>
        </w:tc>
        <w:tc>
          <w:tcPr>
            <w:tcW w:w="697" w:type="pct"/>
            <w:tcBorders>
              <w:top w:val="single" w:sz="4" w:space="0" w:color="auto"/>
              <w:bottom w:val="nil"/>
            </w:tcBorders>
            <w:shd w:val="clear" w:color="auto" w:fill="auto"/>
            <w:noWrap/>
            <w:vAlign w:val="bottom"/>
            <w:hideMark/>
          </w:tcPr>
          <w:p w:rsidR="00795BE2" w:rsidRPr="005A49D3" w:rsidRDefault="00795BE2" w:rsidP="00B13461">
            <w:pPr>
              <w:jc w:val="center"/>
              <w:rPr>
                <w:rFonts w:eastAsia="Times New Roman"/>
                <w:b/>
                <w:bCs/>
                <w:szCs w:val="22"/>
              </w:rPr>
            </w:pPr>
            <w:r w:rsidRPr="005A49D3">
              <w:rPr>
                <w:rFonts w:eastAsia="Times New Roman"/>
                <w:b/>
                <w:bCs/>
                <w:szCs w:val="22"/>
              </w:rPr>
              <w:t>1401</w:t>
            </w:r>
          </w:p>
        </w:tc>
      </w:tr>
      <w:tr w:rsidR="00795BE2" w:rsidRPr="005A49D3" w:rsidTr="00795BE2">
        <w:trPr>
          <w:trHeight w:val="432"/>
          <w:tblHeader/>
          <w:jc w:val="center"/>
        </w:trPr>
        <w:tc>
          <w:tcPr>
            <w:tcW w:w="1384" w:type="pct"/>
            <w:vMerge/>
            <w:tcBorders>
              <w:top w:val="nil"/>
              <w:bottom w:val="single" w:sz="4" w:space="0" w:color="auto"/>
            </w:tcBorders>
            <w:shd w:val="clear" w:color="auto" w:fill="auto"/>
            <w:noWrap/>
            <w:vAlign w:val="bottom"/>
            <w:hideMark/>
          </w:tcPr>
          <w:p w:rsidR="00795BE2" w:rsidRPr="005A49D3" w:rsidRDefault="00795BE2" w:rsidP="00B13461">
            <w:pPr>
              <w:jc w:val="center"/>
              <w:rPr>
                <w:rFonts w:eastAsia="Times New Roman" w:cs="Calibri"/>
                <w:szCs w:val="22"/>
              </w:rPr>
            </w:pPr>
          </w:p>
        </w:tc>
        <w:tc>
          <w:tcPr>
            <w:tcW w:w="285" w:type="pct"/>
            <w:tcBorders>
              <w:top w:val="nil"/>
              <w:bottom w:val="single" w:sz="4" w:space="0" w:color="auto"/>
            </w:tcBorders>
          </w:tcPr>
          <w:p w:rsidR="00795BE2" w:rsidRPr="005A49D3" w:rsidRDefault="00795BE2" w:rsidP="00B13461">
            <w:pPr>
              <w:jc w:val="center"/>
              <w:rPr>
                <w:rFonts w:eastAsia="Times New Roman"/>
                <w:b/>
                <w:bCs/>
                <w:szCs w:val="22"/>
              </w:rPr>
            </w:pPr>
          </w:p>
        </w:tc>
        <w:tc>
          <w:tcPr>
            <w:tcW w:w="653" w:type="pct"/>
            <w:tcBorders>
              <w:top w:val="nil"/>
              <w:bottom w:val="single" w:sz="4" w:space="0" w:color="auto"/>
            </w:tcBorders>
            <w:shd w:val="clear" w:color="auto" w:fill="auto"/>
            <w:noWrap/>
            <w:vAlign w:val="bottom"/>
            <w:hideMark/>
          </w:tcPr>
          <w:p w:rsidR="00795BE2" w:rsidRPr="005A49D3" w:rsidRDefault="00795BE2" w:rsidP="00B13461">
            <w:pPr>
              <w:jc w:val="center"/>
              <w:rPr>
                <w:rFonts w:eastAsia="Times New Roman"/>
                <w:b/>
                <w:bCs/>
                <w:szCs w:val="22"/>
              </w:rPr>
            </w:pPr>
            <w:r w:rsidRPr="005A49D3">
              <w:rPr>
                <w:rFonts w:eastAsia="Times New Roman"/>
                <w:b/>
                <w:bCs/>
                <w:szCs w:val="22"/>
              </w:rPr>
              <w:t>Approved Budget</w:t>
            </w:r>
          </w:p>
        </w:tc>
        <w:tc>
          <w:tcPr>
            <w:tcW w:w="586" w:type="pct"/>
            <w:tcBorders>
              <w:top w:val="nil"/>
              <w:bottom w:val="single" w:sz="4" w:space="0" w:color="auto"/>
            </w:tcBorders>
            <w:shd w:val="clear" w:color="auto" w:fill="auto"/>
            <w:noWrap/>
            <w:vAlign w:val="bottom"/>
            <w:hideMark/>
          </w:tcPr>
          <w:p w:rsidR="00795BE2" w:rsidRPr="005A49D3" w:rsidRDefault="00795BE2" w:rsidP="00B13461">
            <w:pPr>
              <w:jc w:val="center"/>
              <w:rPr>
                <w:rFonts w:eastAsia="Times New Roman"/>
                <w:b/>
                <w:bCs/>
                <w:szCs w:val="22"/>
              </w:rPr>
            </w:pPr>
            <w:r w:rsidRPr="005A49D3">
              <w:rPr>
                <w:rFonts w:eastAsia="Times New Roman"/>
                <w:b/>
                <w:bCs/>
                <w:szCs w:val="22"/>
              </w:rPr>
              <w:t>Budget</w:t>
            </w:r>
          </w:p>
        </w:tc>
        <w:tc>
          <w:tcPr>
            <w:tcW w:w="697" w:type="pct"/>
            <w:tcBorders>
              <w:top w:val="nil"/>
              <w:bottom w:val="single" w:sz="4" w:space="0" w:color="auto"/>
            </w:tcBorders>
            <w:shd w:val="clear" w:color="auto" w:fill="auto"/>
            <w:noWrap/>
            <w:vAlign w:val="bottom"/>
            <w:hideMark/>
          </w:tcPr>
          <w:p w:rsidR="00795BE2" w:rsidRPr="005A49D3" w:rsidRDefault="00795BE2" w:rsidP="00B13461">
            <w:pPr>
              <w:jc w:val="center"/>
              <w:rPr>
                <w:rFonts w:eastAsia="Times New Roman"/>
                <w:b/>
                <w:bCs/>
                <w:szCs w:val="22"/>
              </w:rPr>
            </w:pPr>
            <w:r w:rsidRPr="005A49D3">
              <w:rPr>
                <w:rFonts w:eastAsia="Times New Roman"/>
                <w:b/>
                <w:bCs/>
                <w:szCs w:val="22"/>
              </w:rPr>
              <w:t>Forward Estimates</w:t>
            </w:r>
          </w:p>
        </w:tc>
        <w:tc>
          <w:tcPr>
            <w:tcW w:w="697" w:type="pct"/>
            <w:tcBorders>
              <w:top w:val="nil"/>
              <w:bottom w:val="single" w:sz="4" w:space="0" w:color="auto"/>
            </w:tcBorders>
            <w:shd w:val="clear" w:color="auto" w:fill="auto"/>
            <w:noWrap/>
            <w:vAlign w:val="bottom"/>
            <w:hideMark/>
          </w:tcPr>
          <w:p w:rsidR="00795BE2" w:rsidRPr="005A49D3" w:rsidRDefault="00795BE2" w:rsidP="00B13461">
            <w:pPr>
              <w:jc w:val="center"/>
              <w:rPr>
                <w:rFonts w:eastAsia="Times New Roman"/>
                <w:b/>
                <w:bCs/>
                <w:szCs w:val="22"/>
              </w:rPr>
            </w:pPr>
            <w:r w:rsidRPr="005A49D3">
              <w:rPr>
                <w:rFonts w:eastAsia="Times New Roman"/>
                <w:b/>
                <w:bCs/>
                <w:szCs w:val="22"/>
              </w:rPr>
              <w:t>Forward Estimates</w:t>
            </w:r>
          </w:p>
        </w:tc>
        <w:tc>
          <w:tcPr>
            <w:tcW w:w="697" w:type="pct"/>
            <w:tcBorders>
              <w:top w:val="nil"/>
              <w:bottom w:val="single" w:sz="4" w:space="0" w:color="auto"/>
            </w:tcBorders>
            <w:shd w:val="clear" w:color="auto" w:fill="auto"/>
            <w:noWrap/>
            <w:vAlign w:val="bottom"/>
            <w:hideMark/>
          </w:tcPr>
          <w:p w:rsidR="00795BE2" w:rsidRPr="005A49D3" w:rsidRDefault="00795BE2" w:rsidP="00B13461">
            <w:pPr>
              <w:jc w:val="center"/>
              <w:rPr>
                <w:rFonts w:eastAsia="Times New Roman"/>
                <w:b/>
                <w:bCs/>
                <w:szCs w:val="22"/>
              </w:rPr>
            </w:pPr>
            <w:r w:rsidRPr="005A49D3">
              <w:rPr>
                <w:rFonts w:eastAsia="Times New Roman"/>
                <w:b/>
                <w:bCs/>
                <w:szCs w:val="22"/>
              </w:rPr>
              <w:t>Forward Estimates</w:t>
            </w:r>
          </w:p>
        </w:tc>
      </w:tr>
      <w:tr w:rsidR="00795BE2" w:rsidRPr="005A49D3" w:rsidTr="00795BE2">
        <w:trPr>
          <w:trHeight w:val="432"/>
          <w:jc w:val="center"/>
        </w:trPr>
        <w:tc>
          <w:tcPr>
            <w:tcW w:w="1384" w:type="pct"/>
            <w:tcBorders>
              <w:top w:val="single" w:sz="4" w:space="0" w:color="auto"/>
            </w:tcBorders>
            <w:shd w:val="clear" w:color="auto" w:fill="C6D9F1"/>
            <w:noWrap/>
            <w:vAlign w:val="bottom"/>
            <w:hideMark/>
          </w:tcPr>
          <w:p w:rsidR="00795BE2" w:rsidRPr="005A49D3" w:rsidRDefault="00795BE2" w:rsidP="00C97BE2">
            <w:pPr>
              <w:rPr>
                <w:rFonts w:eastAsia="Times New Roman"/>
                <w:b/>
                <w:bCs/>
                <w:szCs w:val="22"/>
              </w:rPr>
            </w:pPr>
            <w:r w:rsidRPr="005A49D3">
              <w:rPr>
                <w:rFonts w:eastAsia="Times New Roman"/>
                <w:b/>
                <w:bCs/>
                <w:szCs w:val="22"/>
              </w:rPr>
              <w:t>Total Revenue</w:t>
            </w:r>
          </w:p>
        </w:tc>
        <w:tc>
          <w:tcPr>
            <w:tcW w:w="285" w:type="pct"/>
            <w:tcBorders>
              <w:top w:val="single" w:sz="4" w:space="0" w:color="auto"/>
            </w:tcBorders>
            <w:shd w:val="clear" w:color="auto" w:fill="C6D9F1"/>
          </w:tcPr>
          <w:p w:rsidR="00795BE2" w:rsidRPr="005A49D3" w:rsidRDefault="00795BE2" w:rsidP="00ED335F">
            <w:pPr>
              <w:jc w:val="right"/>
              <w:rPr>
                <w:rFonts w:eastAsia="Times New Roman"/>
                <w:b/>
                <w:bCs/>
                <w:szCs w:val="22"/>
              </w:rPr>
            </w:pPr>
          </w:p>
        </w:tc>
        <w:tc>
          <w:tcPr>
            <w:tcW w:w="653" w:type="pct"/>
            <w:tcBorders>
              <w:top w:val="single" w:sz="4" w:space="0" w:color="auto"/>
            </w:tcBorders>
            <w:shd w:val="clear" w:color="auto" w:fill="C6D9F1"/>
            <w:noWrap/>
            <w:vAlign w:val="bottom"/>
            <w:hideMark/>
          </w:tcPr>
          <w:p w:rsidR="00795BE2" w:rsidRPr="005A49D3" w:rsidRDefault="00795BE2" w:rsidP="00ED335F">
            <w:pPr>
              <w:jc w:val="right"/>
              <w:rPr>
                <w:rFonts w:eastAsia="Times New Roman"/>
                <w:b/>
                <w:bCs/>
                <w:szCs w:val="22"/>
              </w:rPr>
            </w:pPr>
            <w:r w:rsidRPr="005A49D3">
              <w:rPr>
                <w:rFonts w:eastAsia="Times New Roman"/>
                <w:b/>
                <w:bCs/>
                <w:szCs w:val="22"/>
              </w:rPr>
              <w:t>397,083,022,572</w:t>
            </w:r>
          </w:p>
        </w:tc>
        <w:tc>
          <w:tcPr>
            <w:tcW w:w="586" w:type="pct"/>
            <w:tcBorders>
              <w:top w:val="single" w:sz="4" w:space="0" w:color="auto"/>
            </w:tcBorders>
            <w:shd w:val="clear" w:color="auto" w:fill="C6D9F1"/>
            <w:noWrap/>
            <w:vAlign w:val="bottom"/>
            <w:hideMark/>
          </w:tcPr>
          <w:p w:rsidR="00795BE2" w:rsidRPr="005A49D3" w:rsidRDefault="00795BE2" w:rsidP="00ED335F">
            <w:pPr>
              <w:jc w:val="right"/>
              <w:rPr>
                <w:rFonts w:eastAsia="Times New Roman"/>
                <w:b/>
                <w:bCs/>
                <w:szCs w:val="22"/>
              </w:rPr>
            </w:pPr>
            <w:r w:rsidRPr="005A49D3">
              <w:rPr>
                <w:rFonts w:eastAsia="Times New Roman"/>
                <w:b/>
                <w:bCs/>
                <w:szCs w:val="22"/>
              </w:rPr>
              <w:t>387,021,492,028</w:t>
            </w:r>
          </w:p>
        </w:tc>
        <w:tc>
          <w:tcPr>
            <w:tcW w:w="697" w:type="pct"/>
            <w:tcBorders>
              <w:top w:val="single" w:sz="4" w:space="0" w:color="auto"/>
            </w:tcBorders>
            <w:shd w:val="clear" w:color="auto" w:fill="C6D9F1"/>
            <w:noWrap/>
            <w:vAlign w:val="bottom"/>
            <w:hideMark/>
          </w:tcPr>
          <w:p w:rsidR="00795BE2" w:rsidRPr="005A49D3" w:rsidRDefault="00795BE2" w:rsidP="00ED335F">
            <w:pPr>
              <w:jc w:val="right"/>
              <w:rPr>
                <w:rFonts w:eastAsia="Times New Roman"/>
                <w:b/>
                <w:bCs/>
                <w:szCs w:val="22"/>
              </w:rPr>
            </w:pPr>
            <w:r w:rsidRPr="005A49D3">
              <w:rPr>
                <w:rFonts w:eastAsia="Times New Roman"/>
                <w:b/>
                <w:bCs/>
                <w:szCs w:val="22"/>
              </w:rPr>
              <w:t>382,491,971,932</w:t>
            </w:r>
          </w:p>
        </w:tc>
        <w:tc>
          <w:tcPr>
            <w:tcW w:w="697" w:type="pct"/>
            <w:tcBorders>
              <w:top w:val="single" w:sz="4" w:space="0" w:color="auto"/>
            </w:tcBorders>
            <w:shd w:val="clear" w:color="auto" w:fill="C6D9F1"/>
            <w:noWrap/>
            <w:vAlign w:val="bottom"/>
            <w:hideMark/>
          </w:tcPr>
          <w:p w:rsidR="00795BE2" w:rsidRPr="005A49D3" w:rsidRDefault="00795BE2" w:rsidP="00ED335F">
            <w:pPr>
              <w:jc w:val="right"/>
              <w:rPr>
                <w:rFonts w:eastAsia="Times New Roman"/>
                <w:b/>
                <w:bCs/>
                <w:szCs w:val="22"/>
              </w:rPr>
            </w:pPr>
            <w:r w:rsidRPr="005A49D3">
              <w:rPr>
                <w:rFonts w:eastAsia="Times New Roman"/>
                <w:b/>
                <w:bCs/>
                <w:szCs w:val="22"/>
              </w:rPr>
              <w:t>369,372,956,054</w:t>
            </w:r>
          </w:p>
        </w:tc>
        <w:tc>
          <w:tcPr>
            <w:tcW w:w="697" w:type="pct"/>
            <w:tcBorders>
              <w:top w:val="single" w:sz="4" w:space="0" w:color="auto"/>
            </w:tcBorders>
            <w:shd w:val="clear" w:color="auto" w:fill="C6D9F1"/>
            <w:noWrap/>
            <w:vAlign w:val="bottom"/>
            <w:hideMark/>
          </w:tcPr>
          <w:p w:rsidR="00795BE2" w:rsidRPr="005A49D3" w:rsidRDefault="00795BE2" w:rsidP="00ED335F">
            <w:pPr>
              <w:jc w:val="right"/>
              <w:rPr>
                <w:rFonts w:eastAsia="Times New Roman"/>
                <w:b/>
                <w:bCs/>
                <w:szCs w:val="22"/>
              </w:rPr>
            </w:pPr>
            <w:r w:rsidRPr="005A49D3">
              <w:rPr>
                <w:rFonts w:eastAsia="Times New Roman"/>
                <w:b/>
                <w:bCs/>
                <w:szCs w:val="22"/>
              </w:rPr>
              <w:t>354,003,295,052</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955CDD">
            <w:pPr>
              <w:jc w:val="both"/>
              <w:rPr>
                <w:rFonts w:eastAsia="Times New Roman"/>
                <w:b/>
                <w:bCs/>
                <w:szCs w:val="22"/>
              </w:rPr>
            </w:pPr>
            <w:r w:rsidRPr="005A49D3">
              <w:rPr>
                <w:rFonts w:eastAsia="Times New Roman"/>
                <w:b/>
                <w:bCs/>
                <w:szCs w:val="22"/>
              </w:rPr>
              <w:t>Domestic Revenue</w:t>
            </w:r>
          </w:p>
        </w:tc>
        <w:tc>
          <w:tcPr>
            <w:tcW w:w="285" w:type="pct"/>
          </w:tcPr>
          <w:p w:rsidR="00795BE2" w:rsidRPr="005A49D3" w:rsidRDefault="00795BE2" w:rsidP="00ED335F">
            <w:pPr>
              <w:jc w:val="right"/>
              <w:rPr>
                <w:rFonts w:eastAsia="Times New Roman" w:cs="Calibri"/>
                <w:b/>
                <w:bCs/>
                <w:szCs w:val="22"/>
              </w:rPr>
            </w:pPr>
          </w:p>
        </w:tc>
        <w:tc>
          <w:tcPr>
            <w:tcW w:w="653"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173,500,000,000</w:t>
            </w:r>
          </w:p>
        </w:tc>
        <w:tc>
          <w:tcPr>
            <w:tcW w:w="586"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188,005,594,664</w:t>
            </w:r>
          </w:p>
        </w:tc>
        <w:tc>
          <w:tcPr>
            <w:tcW w:w="697"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208,376,441,637</w:t>
            </w:r>
          </w:p>
        </w:tc>
        <w:tc>
          <w:tcPr>
            <w:tcW w:w="697"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234,446,192,482</w:t>
            </w:r>
          </w:p>
        </w:tc>
        <w:tc>
          <w:tcPr>
            <w:tcW w:w="697"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259,100,144,554</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955CDD">
            <w:pPr>
              <w:jc w:val="both"/>
              <w:rPr>
                <w:rFonts w:eastAsia="Times New Roman"/>
                <w:szCs w:val="22"/>
              </w:rPr>
            </w:pPr>
            <w:r w:rsidRPr="005A49D3">
              <w:rPr>
                <w:rFonts w:eastAsia="Times New Roman"/>
                <w:szCs w:val="22"/>
              </w:rPr>
              <w:t>Pension Contribution</w:t>
            </w:r>
          </w:p>
        </w:tc>
        <w:tc>
          <w:tcPr>
            <w:tcW w:w="285" w:type="pct"/>
          </w:tcPr>
          <w:p w:rsidR="00795BE2" w:rsidRPr="005A49D3" w:rsidRDefault="00795BE2" w:rsidP="00ED335F">
            <w:pPr>
              <w:jc w:val="right"/>
              <w:rPr>
                <w:rFonts w:eastAsia="Times New Roman" w:cs="Calibri"/>
                <w:szCs w:val="22"/>
              </w:rPr>
            </w:pPr>
          </w:p>
        </w:tc>
        <w:tc>
          <w:tcPr>
            <w:tcW w:w="653" w:type="pct"/>
            <w:shd w:val="clear" w:color="auto" w:fill="auto"/>
            <w:noWrap/>
            <w:vAlign w:val="bottom"/>
            <w:hideMark/>
          </w:tcPr>
          <w:p w:rsidR="00795BE2" w:rsidRPr="005A49D3" w:rsidRDefault="00795BE2" w:rsidP="00ED335F">
            <w:pPr>
              <w:jc w:val="right"/>
              <w:rPr>
                <w:rFonts w:eastAsia="Times New Roman" w:cs="Calibri"/>
                <w:szCs w:val="22"/>
              </w:rPr>
            </w:pPr>
          </w:p>
        </w:tc>
        <w:tc>
          <w:tcPr>
            <w:tcW w:w="586"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5,460,902,691</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6,128,934,917</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6,753,620,479</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7,235,254,924</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955CDD">
            <w:pPr>
              <w:jc w:val="both"/>
              <w:rPr>
                <w:rFonts w:eastAsia="Times New Roman"/>
                <w:b/>
                <w:bCs/>
                <w:szCs w:val="22"/>
              </w:rPr>
            </w:pPr>
            <w:r w:rsidRPr="005A49D3">
              <w:rPr>
                <w:rFonts w:eastAsia="Times New Roman"/>
                <w:b/>
                <w:bCs/>
                <w:szCs w:val="22"/>
              </w:rPr>
              <w:t>Foreign Aids</w:t>
            </w:r>
          </w:p>
        </w:tc>
        <w:tc>
          <w:tcPr>
            <w:tcW w:w="285" w:type="pct"/>
          </w:tcPr>
          <w:p w:rsidR="00795BE2" w:rsidRPr="005A49D3" w:rsidRDefault="00795BE2" w:rsidP="00ED335F">
            <w:pPr>
              <w:jc w:val="right"/>
              <w:rPr>
                <w:rFonts w:eastAsia="Times New Roman" w:cs="Calibri"/>
                <w:b/>
                <w:bCs/>
                <w:szCs w:val="22"/>
              </w:rPr>
            </w:pPr>
          </w:p>
        </w:tc>
        <w:tc>
          <w:tcPr>
            <w:tcW w:w="653"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223,583,022,572</w:t>
            </w:r>
          </w:p>
        </w:tc>
        <w:tc>
          <w:tcPr>
            <w:tcW w:w="586"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199,015,897,364</w:t>
            </w:r>
          </w:p>
        </w:tc>
        <w:tc>
          <w:tcPr>
            <w:tcW w:w="697"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174,115,530,295</w:t>
            </w:r>
          </w:p>
        </w:tc>
        <w:tc>
          <w:tcPr>
            <w:tcW w:w="697"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134,926,763,571</w:t>
            </w:r>
          </w:p>
        </w:tc>
        <w:tc>
          <w:tcPr>
            <w:tcW w:w="697"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94,903,150,497</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955CDD">
            <w:pPr>
              <w:jc w:val="both"/>
              <w:rPr>
                <w:rFonts w:eastAsia="Times New Roman"/>
                <w:szCs w:val="22"/>
              </w:rPr>
            </w:pPr>
            <w:r w:rsidRPr="005A49D3">
              <w:rPr>
                <w:rFonts w:eastAsia="Times New Roman"/>
                <w:szCs w:val="22"/>
              </w:rPr>
              <w:t>Operating</w:t>
            </w:r>
          </w:p>
        </w:tc>
        <w:tc>
          <w:tcPr>
            <w:tcW w:w="285" w:type="pct"/>
          </w:tcPr>
          <w:p w:rsidR="00795BE2" w:rsidRPr="005A49D3" w:rsidRDefault="00795BE2" w:rsidP="00ED335F">
            <w:pPr>
              <w:jc w:val="right"/>
              <w:rPr>
                <w:rFonts w:eastAsia="Times New Roman" w:cs="Calibri"/>
                <w:szCs w:val="22"/>
              </w:rPr>
            </w:pPr>
          </w:p>
        </w:tc>
        <w:tc>
          <w:tcPr>
            <w:tcW w:w="653"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106,762,039,274</w:t>
            </w:r>
          </w:p>
        </w:tc>
        <w:tc>
          <w:tcPr>
            <w:tcW w:w="586"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98,843,863,664</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82,063,544,567</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45,591,857,305</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45,591,857,305</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955CDD">
            <w:pPr>
              <w:jc w:val="both"/>
              <w:rPr>
                <w:rFonts w:eastAsia="Times New Roman"/>
                <w:szCs w:val="22"/>
              </w:rPr>
            </w:pPr>
            <w:r w:rsidRPr="005A49D3">
              <w:rPr>
                <w:rFonts w:eastAsia="Times New Roman"/>
                <w:szCs w:val="22"/>
              </w:rPr>
              <w:t>Development</w:t>
            </w:r>
          </w:p>
        </w:tc>
        <w:tc>
          <w:tcPr>
            <w:tcW w:w="285" w:type="pct"/>
          </w:tcPr>
          <w:p w:rsidR="00795BE2" w:rsidRPr="005A49D3" w:rsidRDefault="00795BE2" w:rsidP="00ED335F">
            <w:pPr>
              <w:jc w:val="right"/>
              <w:rPr>
                <w:rFonts w:eastAsia="Times New Roman" w:cs="Calibri"/>
                <w:b/>
                <w:bCs/>
                <w:szCs w:val="22"/>
              </w:rPr>
            </w:pPr>
          </w:p>
        </w:tc>
        <w:tc>
          <w:tcPr>
            <w:tcW w:w="653"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116,820,983,298</w:t>
            </w:r>
          </w:p>
        </w:tc>
        <w:tc>
          <w:tcPr>
            <w:tcW w:w="586"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100,172,033,700</w:t>
            </w:r>
          </w:p>
        </w:tc>
        <w:tc>
          <w:tcPr>
            <w:tcW w:w="697"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92,051,985,728</w:t>
            </w:r>
          </w:p>
        </w:tc>
        <w:tc>
          <w:tcPr>
            <w:tcW w:w="697"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89,334,906,266</w:t>
            </w:r>
          </w:p>
        </w:tc>
        <w:tc>
          <w:tcPr>
            <w:tcW w:w="697"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49,311,293,192</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4D2078">
            <w:pPr>
              <w:ind w:left="360"/>
              <w:jc w:val="both"/>
              <w:rPr>
                <w:rFonts w:eastAsia="Times New Roman"/>
                <w:szCs w:val="22"/>
              </w:rPr>
            </w:pPr>
            <w:r w:rsidRPr="005A49D3">
              <w:rPr>
                <w:rFonts w:eastAsia="Times New Roman"/>
                <w:szCs w:val="22"/>
              </w:rPr>
              <w:t>Including Discretionary</w:t>
            </w:r>
          </w:p>
        </w:tc>
        <w:tc>
          <w:tcPr>
            <w:tcW w:w="285" w:type="pct"/>
          </w:tcPr>
          <w:p w:rsidR="00795BE2" w:rsidRPr="005A49D3" w:rsidRDefault="00795BE2" w:rsidP="00ED335F">
            <w:pPr>
              <w:jc w:val="right"/>
              <w:rPr>
                <w:rFonts w:eastAsia="Times New Roman" w:cs="Calibri"/>
                <w:szCs w:val="22"/>
              </w:rPr>
            </w:pPr>
          </w:p>
        </w:tc>
        <w:tc>
          <w:tcPr>
            <w:tcW w:w="653"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41,584,354,066</w:t>
            </w:r>
          </w:p>
        </w:tc>
        <w:tc>
          <w:tcPr>
            <w:tcW w:w="586"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37,200,000,000</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30,800,000,000</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33,180,000,000</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4D2078">
            <w:pPr>
              <w:ind w:left="360"/>
              <w:jc w:val="both"/>
              <w:rPr>
                <w:rFonts w:eastAsia="Times New Roman"/>
                <w:szCs w:val="22"/>
              </w:rPr>
            </w:pPr>
            <w:r w:rsidRPr="005A49D3">
              <w:rPr>
                <w:rFonts w:eastAsia="Times New Roman"/>
                <w:szCs w:val="22"/>
              </w:rPr>
              <w:t>Including Non-Discretionary and Loan</w:t>
            </w:r>
          </w:p>
        </w:tc>
        <w:tc>
          <w:tcPr>
            <w:tcW w:w="285" w:type="pct"/>
          </w:tcPr>
          <w:p w:rsidR="00795BE2" w:rsidRPr="005A49D3" w:rsidRDefault="00795BE2" w:rsidP="00ED335F">
            <w:pPr>
              <w:jc w:val="right"/>
              <w:rPr>
                <w:rFonts w:eastAsia="Times New Roman" w:cs="Calibri"/>
                <w:szCs w:val="22"/>
              </w:rPr>
            </w:pPr>
          </w:p>
        </w:tc>
        <w:tc>
          <w:tcPr>
            <w:tcW w:w="653"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75,236,629,233</w:t>
            </w:r>
          </w:p>
        </w:tc>
        <w:tc>
          <w:tcPr>
            <w:tcW w:w="586"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62,972,033,700</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61,251,985,728</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56,154,906,266</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49,311,293,192</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B13461">
            <w:pPr>
              <w:jc w:val="center"/>
              <w:rPr>
                <w:rFonts w:eastAsia="Times New Roman"/>
                <w:szCs w:val="22"/>
              </w:rPr>
            </w:pPr>
          </w:p>
        </w:tc>
        <w:tc>
          <w:tcPr>
            <w:tcW w:w="285" w:type="pct"/>
          </w:tcPr>
          <w:p w:rsidR="00795BE2" w:rsidRPr="005A49D3" w:rsidRDefault="00795BE2" w:rsidP="00B13461">
            <w:pPr>
              <w:jc w:val="center"/>
              <w:rPr>
                <w:rFonts w:eastAsia="Times New Roman" w:cs="Calibri"/>
                <w:szCs w:val="22"/>
              </w:rPr>
            </w:pPr>
          </w:p>
        </w:tc>
        <w:tc>
          <w:tcPr>
            <w:tcW w:w="653" w:type="pct"/>
            <w:shd w:val="clear" w:color="auto" w:fill="auto"/>
            <w:noWrap/>
            <w:vAlign w:val="bottom"/>
            <w:hideMark/>
          </w:tcPr>
          <w:p w:rsidR="00795BE2" w:rsidRPr="005A49D3" w:rsidRDefault="00795BE2" w:rsidP="00B13461">
            <w:pPr>
              <w:jc w:val="center"/>
              <w:rPr>
                <w:rFonts w:eastAsia="Times New Roman" w:cs="Calibri"/>
                <w:szCs w:val="22"/>
              </w:rPr>
            </w:pPr>
          </w:p>
        </w:tc>
        <w:tc>
          <w:tcPr>
            <w:tcW w:w="586" w:type="pct"/>
            <w:shd w:val="clear" w:color="auto" w:fill="auto"/>
            <w:noWrap/>
            <w:vAlign w:val="bottom"/>
            <w:hideMark/>
          </w:tcPr>
          <w:p w:rsidR="00795BE2" w:rsidRPr="005A49D3" w:rsidRDefault="00795BE2" w:rsidP="00B13461">
            <w:pPr>
              <w:jc w:val="center"/>
              <w:rPr>
                <w:rFonts w:eastAsia="Times New Roman" w:cs="Calibri"/>
                <w:szCs w:val="22"/>
              </w:rPr>
            </w:pP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p>
        </w:tc>
      </w:tr>
      <w:tr w:rsidR="00795BE2" w:rsidRPr="005A49D3" w:rsidTr="00795BE2">
        <w:trPr>
          <w:trHeight w:val="432"/>
          <w:jc w:val="center"/>
        </w:trPr>
        <w:tc>
          <w:tcPr>
            <w:tcW w:w="1384" w:type="pct"/>
            <w:shd w:val="clear" w:color="auto" w:fill="C6D9F1"/>
            <w:noWrap/>
            <w:vAlign w:val="bottom"/>
            <w:hideMark/>
          </w:tcPr>
          <w:p w:rsidR="00795BE2" w:rsidRPr="005A49D3" w:rsidRDefault="00795BE2" w:rsidP="00C97BE2">
            <w:pPr>
              <w:rPr>
                <w:rFonts w:eastAsia="Times New Roman"/>
                <w:b/>
                <w:bCs/>
                <w:szCs w:val="22"/>
              </w:rPr>
            </w:pPr>
            <w:r w:rsidRPr="005A49D3">
              <w:rPr>
                <w:rFonts w:eastAsia="Times New Roman"/>
                <w:b/>
                <w:bCs/>
                <w:szCs w:val="22"/>
              </w:rPr>
              <w:t>Expenditures</w:t>
            </w:r>
          </w:p>
        </w:tc>
        <w:tc>
          <w:tcPr>
            <w:tcW w:w="285" w:type="pct"/>
            <w:shd w:val="clear" w:color="auto" w:fill="C6D9F1"/>
          </w:tcPr>
          <w:p w:rsidR="00795BE2" w:rsidRPr="005F2008" w:rsidRDefault="00795BE2" w:rsidP="00ED335F">
            <w:pPr>
              <w:jc w:val="right"/>
              <w:rPr>
                <w:rFonts w:eastAsia="Times New Roman"/>
                <w:b/>
                <w:bCs/>
                <w:szCs w:val="22"/>
              </w:rPr>
            </w:pPr>
          </w:p>
        </w:tc>
        <w:tc>
          <w:tcPr>
            <w:tcW w:w="653" w:type="pct"/>
            <w:shd w:val="clear" w:color="auto" w:fill="C6D9F1"/>
            <w:noWrap/>
            <w:vAlign w:val="bottom"/>
            <w:hideMark/>
          </w:tcPr>
          <w:p w:rsidR="00795BE2" w:rsidRPr="005F2008" w:rsidRDefault="00795BE2" w:rsidP="00ED335F">
            <w:pPr>
              <w:jc w:val="right"/>
              <w:rPr>
                <w:rFonts w:eastAsia="Times New Roman"/>
                <w:b/>
                <w:bCs/>
                <w:szCs w:val="22"/>
              </w:rPr>
            </w:pPr>
            <w:r w:rsidRPr="005F2008">
              <w:rPr>
                <w:rFonts w:eastAsia="Times New Roman"/>
                <w:b/>
                <w:bCs/>
                <w:szCs w:val="22"/>
              </w:rPr>
              <w:t>413,206,671,388</w:t>
            </w:r>
          </w:p>
        </w:tc>
        <w:tc>
          <w:tcPr>
            <w:tcW w:w="586" w:type="pct"/>
            <w:shd w:val="clear" w:color="auto" w:fill="C6D9F1"/>
            <w:noWrap/>
            <w:vAlign w:val="bottom"/>
            <w:hideMark/>
          </w:tcPr>
          <w:p w:rsidR="00795BE2" w:rsidRPr="005F2008" w:rsidRDefault="00795BE2" w:rsidP="00ED335F">
            <w:pPr>
              <w:jc w:val="right"/>
              <w:rPr>
                <w:rFonts w:eastAsia="Times New Roman"/>
                <w:b/>
                <w:bCs/>
                <w:szCs w:val="22"/>
              </w:rPr>
            </w:pPr>
            <w:r w:rsidRPr="005F2008">
              <w:rPr>
                <w:rFonts w:eastAsia="Times New Roman"/>
                <w:b/>
                <w:bCs/>
                <w:szCs w:val="22"/>
              </w:rPr>
              <w:t>399,417,934,931</w:t>
            </w:r>
          </w:p>
        </w:tc>
        <w:tc>
          <w:tcPr>
            <w:tcW w:w="697" w:type="pct"/>
            <w:shd w:val="clear" w:color="auto" w:fill="C6D9F1"/>
            <w:noWrap/>
            <w:vAlign w:val="bottom"/>
            <w:hideMark/>
          </w:tcPr>
          <w:p w:rsidR="00795BE2" w:rsidRPr="005F2008" w:rsidRDefault="00795BE2" w:rsidP="00ED335F">
            <w:pPr>
              <w:jc w:val="right"/>
              <w:rPr>
                <w:rFonts w:eastAsia="Times New Roman"/>
                <w:b/>
                <w:bCs/>
                <w:szCs w:val="22"/>
              </w:rPr>
            </w:pPr>
            <w:r w:rsidRPr="005F2008">
              <w:rPr>
                <w:rFonts w:eastAsia="Times New Roman"/>
                <w:b/>
                <w:bCs/>
                <w:szCs w:val="22"/>
              </w:rPr>
              <w:t>417,692,387,873</w:t>
            </w:r>
          </w:p>
        </w:tc>
        <w:tc>
          <w:tcPr>
            <w:tcW w:w="697" w:type="pct"/>
            <w:shd w:val="clear" w:color="auto" w:fill="C6D9F1"/>
            <w:noWrap/>
            <w:vAlign w:val="bottom"/>
            <w:hideMark/>
          </w:tcPr>
          <w:p w:rsidR="00795BE2" w:rsidRPr="005F2008" w:rsidRDefault="00795BE2" w:rsidP="00ED335F">
            <w:pPr>
              <w:jc w:val="right"/>
              <w:rPr>
                <w:rFonts w:eastAsia="Times New Roman"/>
                <w:b/>
                <w:bCs/>
                <w:szCs w:val="22"/>
              </w:rPr>
            </w:pPr>
            <w:r w:rsidRPr="005F2008">
              <w:rPr>
                <w:rFonts w:eastAsia="Times New Roman"/>
                <w:b/>
                <w:bCs/>
                <w:szCs w:val="22"/>
              </w:rPr>
              <w:t>425,016,777,419</w:t>
            </w:r>
          </w:p>
        </w:tc>
        <w:tc>
          <w:tcPr>
            <w:tcW w:w="697" w:type="pct"/>
            <w:shd w:val="clear" w:color="auto" w:fill="C6D9F1"/>
            <w:noWrap/>
            <w:vAlign w:val="bottom"/>
            <w:hideMark/>
          </w:tcPr>
          <w:p w:rsidR="00795BE2" w:rsidRPr="005F2008" w:rsidRDefault="00795BE2" w:rsidP="00ED335F">
            <w:pPr>
              <w:jc w:val="right"/>
              <w:rPr>
                <w:rFonts w:eastAsia="Times New Roman"/>
                <w:b/>
                <w:bCs/>
                <w:szCs w:val="22"/>
              </w:rPr>
            </w:pPr>
            <w:r w:rsidRPr="005F2008">
              <w:rPr>
                <w:rFonts w:eastAsia="Times New Roman"/>
                <w:b/>
                <w:bCs/>
                <w:szCs w:val="22"/>
              </w:rPr>
              <w:t>430,014,308,604</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C97BE2">
            <w:pPr>
              <w:rPr>
                <w:rFonts w:eastAsia="Times New Roman"/>
                <w:b/>
                <w:bCs/>
                <w:szCs w:val="22"/>
              </w:rPr>
            </w:pPr>
            <w:r w:rsidRPr="005A49D3">
              <w:rPr>
                <w:rFonts w:eastAsia="Times New Roman"/>
                <w:b/>
                <w:bCs/>
                <w:szCs w:val="22"/>
              </w:rPr>
              <w:t>Operating Budget</w:t>
            </w:r>
          </w:p>
        </w:tc>
        <w:tc>
          <w:tcPr>
            <w:tcW w:w="285" w:type="pct"/>
          </w:tcPr>
          <w:p w:rsidR="00795BE2" w:rsidRPr="005A49D3" w:rsidRDefault="00795BE2" w:rsidP="00ED335F">
            <w:pPr>
              <w:jc w:val="right"/>
              <w:rPr>
                <w:rFonts w:eastAsia="Times New Roman" w:cs="Calibri"/>
                <w:b/>
                <w:bCs/>
                <w:szCs w:val="22"/>
              </w:rPr>
            </w:pPr>
          </w:p>
        </w:tc>
        <w:tc>
          <w:tcPr>
            <w:tcW w:w="653"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280,262,039,681</w:t>
            </w:r>
          </w:p>
        </w:tc>
        <w:tc>
          <w:tcPr>
            <w:tcW w:w="586"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275,223,837,836</w:t>
            </w:r>
          </w:p>
        </w:tc>
        <w:tc>
          <w:tcPr>
            <w:tcW w:w="697"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296,459,105,113</w:t>
            </w:r>
          </w:p>
        </w:tc>
        <w:tc>
          <w:tcPr>
            <w:tcW w:w="697"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313,398,117,883</w:t>
            </w:r>
          </w:p>
        </w:tc>
        <w:tc>
          <w:tcPr>
            <w:tcW w:w="697" w:type="pct"/>
            <w:shd w:val="clear" w:color="auto" w:fill="auto"/>
            <w:noWrap/>
            <w:vAlign w:val="bottom"/>
            <w:hideMark/>
          </w:tcPr>
          <w:p w:rsidR="00795BE2" w:rsidRPr="005A49D3" w:rsidRDefault="00795BE2" w:rsidP="00ED335F">
            <w:pPr>
              <w:jc w:val="right"/>
              <w:rPr>
                <w:rFonts w:eastAsia="Times New Roman" w:cs="Calibri"/>
                <w:b/>
                <w:bCs/>
                <w:szCs w:val="22"/>
              </w:rPr>
            </w:pPr>
            <w:r w:rsidRPr="005A49D3">
              <w:rPr>
                <w:rFonts w:eastAsia="Times New Roman" w:cs="Calibri"/>
                <w:b/>
                <w:bCs/>
                <w:szCs w:val="22"/>
              </w:rPr>
              <w:t>331,473,472,534</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C97BE2">
            <w:pPr>
              <w:rPr>
                <w:rFonts w:eastAsia="Times New Roman"/>
                <w:szCs w:val="22"/>
              </w:rPr>
            </w:pPr>
            <w:r w:rsidRPr="005A49D3">
              <w:rPr>
                <w:rFonts w:eastAsia="Times New Roman"/>
                <w:szCs w:val="22"/>
              </w:rPr>
              <w:t>Wages and Salaries</w:t>
            </w:r>
          </w:p>
        </w:tc>
        <w:tc>
          <w:tcPr>
            <w:tcW w:w="285" w:type="pct"/>
          </w:tcPr>
          <w:p w:rsidR="00795BE2" w:rsidRPr="005A49D3" w:rsidRDefault="00795BE2" w:rsidP="009C4884">
            <w:pPr>
              <w:ind w:firstLineChars="10" w:firstLine="22"/>
              <w:jc w:val="right"/>
              <w:rPr>
                <w:rFonts w:eastAsia="Times New Roman" w:cs="Calibri"/>
                <w:szCs w:val="22"/>
              </w:rPr>
            </w:pPr>
          </w:p>
        </w:tc>
        <w:tc>
          <w:tcPr>
            <w:tcW w:w="653" w:type="pct"/>
            <w:shd w:val="clear" w:color="auto" w:fill="auto"/>
            <w:noWrap/>
            <w:vAlign w:val="bottom"/>
            <w:hideMark/>
          </w:tcPr>
          <w:p w:rsidR="00795BE2" w:rsidRPr="005A49D3" w:rsidRDefault="00795BE2" w:rsidP="009C4884">
            <w:pPr>
              <w:ind w:firstLineChars="10" w:firstLine="22"/>
              <w:jc w:val="right"/>
              <w:rPr>
                <w:rFonts w:eastAsia="Times New Roman" w:cs="Calibri"/>
                <w:szCs w:val="22"/>
              </w:rPr>
            </w:pPr>
            <w:r w:rsidRPr="005A49D3">
              <w:rPr>
                <w:rFonts w:eastAsia="Times New Roman" w:cs="Calibri"/>
                <w:szCs w:val="22"/>
              </w:rPr>
              <w:t>183,066,108,918</w:t>
            </w:r>
          </w:p>
        </w:tc>
        <w:tc>
          <w:tcPr>
            <w:tcW w:w="586" w:type="pct"/>
            <w:shd w:val="clear" w:color="auto" w:fill="auto"/>
            <w:noWrap/>
            <w:vAlign w:val="bottom"/>
            <w:hideMark/>
          </w:tcPr>
          <w:p w:rsidR="00795BE2" w:rsidRPr="005A49D3" w:rsidRDefault="00795BE2" w:rsidP="009C4884">
            <w:pPr>
              <w:jc w:val="right"/>
              <w:rPr>
                <w:rFonts w:eastAsia="Times New Roman" w:cs="Calibri"/>
                <w:szCs w:val="22"/>
              </w:rPr>
            </w:pPr>
            <w:r w:rsidRPr="005A49D3">
              <w:rPr>
                <w:rFonts w:eastAsia="Times New Roman" w:cs="Calibri"/>
                <w:szCs w:val="22"/>
              </w:rPr>
              <w:t>196,746,008,824</w:t>
            </w:r>
          </w:p>
        </w:tc>
        <w:tc>
          <w:tcPr>
            <w:tcW w:w="697" w:type="pct"/>
            <w:shd w:val="clear" w:color="auto" w:fill="auto"/>
            <w:noWrap/>
            <w:vAlign w:val="bottom"/>
            <w:hideMark/>
          </w:tcPr>
          <w:p w:rsidR="00795BE2" w:rsidRPr="005A49D3" w:rsidRDefault="00795BE2" w:rsidP="009C4884">
            <w:pPr>
              <w:ind w:firstLineChars="15" w:firstLine="33"/>
              <w:jc w:val="right"/>
              <w:rPr>
                <w:rFonts w:eastAsia="Times New Roman" w:cs="Calibri"/>
                <w:szCs w:val="22"/>
              </w:rPr>
            </w:pPr>
            <w:r w:rsidRPr="005A49D3">
              <w:rPr>
                <w:rFonts w:eastAsia="Times New Roman" w:cs="Calibri"/>
                <w:szCs w:val="22"/>
              </w:rPr>
              <w:t>208,204,149,353</w:t>
            </w:r>
          </w:p>
        </w:tc>
        <w:tc>
          <w:tcPr>
            <w:tcW w:w="697" w:type="pct"/>
            <w:shd w:val="clear" w:color="auto" w:fill="auto"/>
            <w:noWrap/>
            <w:vAlign w:val="bottom"/>
            <w:hideMark/>
          </w:tcPr>
          <w:p w:rsidR="00795BE2" w:rsidRPr="005A49D3" w:rsidRDefault="00795BE2" w:rsidP="009C4884">
            <w:pPr>
              <w:ind w:firstLineChars="4" w:firstLine="9"/>
              <w:jc w:val="right"/>
              <w:rPr>
                <w:rFonts w:eastAsia="Times New Roman" w:cs="Calibri"/>
                <w:szCs w:val="22"/>
              </w:rPr>
            </w:pPr>
            <w:r w:rsidRPr="005A49D3">
              <w:rPr>
                <w:rFonts w:eastAsia="Times New Roman" w:cs="Calibri"/>
                <w:szCs w:val="22"/>
              </w:rPr>
              <w:t>220,696,398,315</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233,938,182,214</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C97BE2">
            <w:pPr>
              <w:rPr>
                <w:rFonts w:eastAsia="Times New Roman"/>
                <w:szCs w:val="22"/>
              </w:rPr>
            </w:pPr>
            <w:r w:rsidRPr="005A49D3">
              <w:rPr>
                <w:rFonts w:eastAsia="Times New Roman"/>
                <w:szCs w:val="22"/>
              </w:rPr>
              <w:t>Purchase of Goods and Services</w:t>
            </w:r>
          </w:p>
        </w:tc>
        <w:tc>
          <w:tcPr>
            <w:tcW w:w="285" w:type="pct"/>
          </w:tcPr>
          <w:p w:rsidR="00795BE2" w:rsidRPr="005A49D3" w:rsidRDefault="00795BE2" w:rsidP="00ED335F">
            <w:pPr>
              <w:ind w:firstLineChars="10" w:firstLine="22"/>
              <w:jc w:val="right"/>
              <w:rPr>
                <w:rFonts w:eastAsia="Times New Roman" w:cs="Calibri"/>
                <w:szCs w:val="22"/>
              </w:rPr>
            </w:pPr>
          </w:p>
        </w:tc>
        <w:tc>
          <w:tcPr>
            <w:tcW w:w="653" w:type="pct"/>
            <w:shd w:val="clear" w:color="auto" w:fill="auto"/>
            <w:noWrap/>
            <w:vAlign w:val="bottom"/>
            <w:hideMark/>
          </w:tcPr>
          <w:p w:rsidR="00795BE2" w:rsidRPr="005A49D3" w:rsidRDefault="00795BE2" w:rsidP="00ED335F">
            <w:pPr>
              <w:ind w:firstLineChars="10" w:firstLine="22"/>
              <w:jc w:val="right"/>
              <w:rPr>
                <w:rFonts w:eastAsia="Times New Roman" w:cs="Calibri"/>
                <w:szCs w:val="22"/>
              </w:rPr>
            </w:pPr>
            <w:r w:rsidRPr="005A49D3">
              <w:rPr>
                <w:rFonts w:eastAsia="Times New Roman" w:cs="Calibri"/>
                <w:szCs w:val="22"/>
              </w:rPr>
              <w:t>61,134,725,721</w:t>
            </w:r>
          </w:p>
        </w:tc>
        <w:tc>
          <w:tcPr>
            <w:tcW w:w="586"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52,503,309,427</w:t>
            </w:r>
          </w:p>
        </w:tc>
        <w:tc>
          <w:tcPr>
            <w:tcW w:w="697" w:type="pct"/>
            <w:shd w:val="clear" w:color="auto" w:fill="auto"/>
            <w:noWrap/>
            <w:vAlign w:val="bottom"/>
            <w:hideMark/>
          </w:tcPr>
          <w:p w:rsidR="00795BE2" w:rsidRPr="005A49D3" w:rsidRDefault="00795BE2" w:rsidP="00ED335F">
            <w:pPr>
              <w:ind w:firstLineChars="15" w:firstLine="33"/>
              <w:jc w:val="right"/>
              <w:rPr>
                <w:rFonts w:eastAsia="Times New Roman" w:cs="Calibri"/>
                <w:szCs w:val="22"/>
              </w:rPr>
            </w:pPr>
            <w:r w:rsidRPr="005A49D3">
              <w:rPr>
                <w:rFonts w:eastAsia="Times New Roman" w:cs="Calibri"/>
                <w:szCs w:val="22"/>
              </w:rPr>
              <w:t>53,394,769,804</w:t>
            </w:r>
          </w:p>
        </w:tc>
        <w:tc>
          <w:tcPr>
            <w:tcW w:w="697" w:type="pct"/>
            <w:shd w:val="clear" w:color="auto" w:fill="auto"/>
            <w:noWrap/>
            <w:vAlign w:val="bottom"/>
            <w:hideMark/>
          </w:tcPr>
          <w:p w:rsidR="00795BE2" w:rsidRPr="005A49D3" w:rsidRDefault="00795BE2" w:rsidP="00ED335F">
            <w:pPr>
              <w:ind w:firstLineChars="4" w:firstLine="9"/>
              <w:jc w:val="right"/>
              <w:rPr>
                <w:rFonts w:eastAsia="Times New Roman" w:cs="Calibri"/>
                <w:szCs w:val="22"/>
              </w:rPr>
            </w:pPr>
            <w:r w:rsidRPr="005A49D3">
              <w:rPr>
                <w:rFonts w:eastAsia="Times New Roman" w:cs="Calibri"/>
                <w:szCs w:val="22"/>
              </w:rPr>
              <w:t>55,618,320,596</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58,073,053,420</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C97BE2">
            <w:pPr>
              <w:rPr>
                <w:rFonts w:eastAsia="Times New Roman"/>
                <w:szCs w:val="22"/>
              </w:rPr>
            </w:pPr>
            <w:r>
              <w:rPr>
                <w:rFonts w:eastAsia="Times New Roman"/>
                <w:szCs w:val="22"/>
              </w:rPr>
              <w:t>Interest Payment</w:t>
            </w:r>
          </w:p>
        </w:tc>
        <w:tc>
          <w:tcPr>
            <w:tcW w:w="285" w:type="pct"/>
          </w:tcPr>
          <w:p w:rsidR="00795BE2" w:rsidRPr="005A49D3" w:rsidRDefault="00795BE2" w:rsidP="00ED335F">
            <w:pPr>
              <w:ind w:firstLineChars="10" w:firstLine="22"/>
              <w:jc w:val="right"/>
              <w:rPr>
                <w:rFonts w:eastAsia="Times New Roman" w:cs="Calibri"/>
                <w:szCs w:val="22"/>
              </w:rPr>
            </w:pPr>
          </w:p>
        </w:tc>
        <w:tc>
          <w:tcPr>
            <w:tcW w:w="653" w:type="pct"/>
            <w:shd w:val="clear" w:color="auto" w:fill="auto"/>
            <w:noWrap/>
            <w:vAlign w:val="bottom"/>
            <w:hideMark/>
          </w:tcPr>
          <w:p w:rsidR="00795BE2" w:rsidRPr="005A49D3" w:rsidRDefault="00795BE2" w:rsidP="00ED335F">
            <w:pPr>
              <w:ind w:firstLineChars="10" w:firstLine="22"/>
              <w:jc w:val="right"/>
              <w:rPr>
                <w:rFonts w:eastAsia="Times New Roman" w:cs="Calibri"/>
                <w:szCs w:val="22"/>
              </w:rPr>
            </w:pPr>
            <w:r w:rsidRPr="005A49D3">
              <w:rPr>
                <w:rFonts w:eastAsia="Times New Roman" w:cs="Calibri"/>
                <w:szCs w:val="22"/>
              </w:rPr>
              <w:t>1,802,850,000</w:t>
            </w:r>
          </w:p>
        </w:tc>
        <w:tc>
          <w:tcPr>
            <w:tcW w:w="586"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2,300,000,000</w:t>
            </w:r>
          </w:p>
        </w:tc>
        <w:tc>
          <w:tcPr>
            <w:tcW w:w="697" w:type="pct"/>
            <w:shd w:val="clear" w:color="auto" w:fill="auto"/>
            <w:noWrap/>
            <w:vAlign w:val="bottom"/>
            <w:hideMark/>
          </w:tcPr>
          <w:p w:rsidR="00795BE2" w:rsidRPr="005A49D3" w:rsidRDefault="00795BE2" w:rsidP="00ED335F">
            <w:pPr>
              <w:ind w:firstLineChars="15" w:firstLine="33"/>
              <w:jc w:val="right"/>
              <w:rPr>
                <w:rFonts w:eastAsia="Times New Roman" w:cs="Calibri"/>
                <w:szCs w:val="22"/>
              </w:rPr>
            </w:pPr>
            <w:r w:rsidRPr="005A49D3">
              <w:rPr>
                <w:rFonts w:eastAsia="Times New Roman" w:cs="Calibri"/>
                <w:szCs w:val="22"/>
              </w:rPr>
              <w:t>2,300,000,000</w:t>
            </w:r>
          </w:p>
        </w:tc>
        <w:tc>
          <w:tcPr>
            <w:tcW w:w="697" w:type="pct"/>
            <w:shd w:val="clear" w:color="auto" w:fill="auto"/>
            <w:noWrap/>
            <w:vAlign w:val="bottom"/>
            <w:hideMark/>
          </w:tcPr>
          <w:p w:rsidR="00795BE2" w:rsidRPr="005A49D3" w:rsidRDefault="00795BE2" w:rsidP="00ED335F">
            <w:pPr>
              <w:ind w:firstLineChars="4" w:firstLine="9"/>
              <w:jc w:val="right"/>
              <w:rPr>
                <w:rFonts w:eastAsia="Times New Roman" w:cs="Calibri"/>
                <w:szCs w:val="22"/>
              </w:rPr>
            </w:pPr>
            <w:r w:rsidRPr="005A49D3">
              <w:rPr>
                <w:rFonts w:eastAsia="Times New Roman" w:cs="Calibri"/>
                <w:szCs w:val="22"/>
              </w:rPr>
              <w:t>2,300,000,000</w:t>
            </w:r>
          </w:p>
        </w:tc>
        <w:tc>
          <w:tcPr>
            <w:tcW w:w="697" w:type="pct"/>
            <w:shd w:val="clear" w:color="auto" w:fill="auto"/>
            <w:noWrap/>
            <w:vAlign w:val="bottom"/>
            <w:hideMark/>
          </w:tcPr>
          <w:p w:rsidR="00795BE2" w:rsidRPr="005A49D3" w:rsidRDefault="00795BE2" w:rsidP="00ED335F">
            <w:pPr>
              <w:jc w:val="right"/>
              <w:rPr>
                <w:rFonts w:eastAsia="Times New Roman" w:cs="Calibri"/>
                <w:szCs w:val="22"/>
              </w:rPr>
            </w:pPr>
            <w:r w:rsidRPr="005A49D3">
              <w:rPr>
                <w:rFonts w:eastAsia="Times New Roman" w:cs="Calibri"/>
                <w:szCs w:val="22"/>
              </w:rPr>
              <w:t>2,300,000,000</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955CDD">
            <w:pPr>
              <w:rPr>
                <w:rFonts w:eastAsia="Times New Roman"/>
                <w:szCs w:val="22"/>
              </w:rPr>
            </w:pPr>
            <w:r w:rsidRPr="005A49D3">
              <w:rPr>
                <w:rFonts w:eastAsia="Times New Roman"/>
                <w:szCs w:val="22"/>
              </w:rPr>
              <w:t>Pension</w:t>
            </w:r>
          </w:p>
        </w:tc>
        <w:tc>
          <w:tcPr>
            <w:tcW w:w="285" w:type="pct"/>
          </w:tcPr>
          <w:p w:rsidR="00795BE2" w:rsidRPr="005A49D3" w:rsidRDefault="00795BE2" w:rsidP="009C4884">
            <w:pPr>
              <w:ind w:firstLineChars="10" w:firstLine="22"/>
              <w:jc w:val="right"/>
              <w:rPr>
                <w:rFonts w:eastAsia="Times New Roman" w:cs="Calibri"/>
                <w:szCs w:val="22"/>
              </w:rPr>
            </w:pPr>
          </w:p>
        </w:tc>
        <w:tc>
          <w:tcPr>
            <w:tcW w:w="653" w:type="pct"/>
            <w:shd w:val="clear" w:color="auto" w:fill="auto"/>
            <w:noWrap/>
            <w:vAlign w:val="bottom"/>
            <w:hideMark/>
          </w:tcPr>
          <w:p w:rsidR="00795BE2" w:rsidRPr="005A49D3" w:rsidRDefault="00795BE2" w:rsidP="009C4884">
            <w:pPr>
              <w:ind w:firstLineChars="10" w:firstLine="22"/>
              <w:jc w:val="right"/>
              <w:rPr>
                <w:rFonts w:eastAsia="Times New Roman" w:cs="Calibri"/>
                <w:szCs w:val="22"/>
              </w:rPr>
            </w:pPr>
            <w:r w:rsidRPr="005A49D3">
              <w:rPr>
                <w:rFonts w:eastAsia="Times New Roman" w:cs="Calibri"/>
                <w:szCs w:val="22"/>
              </w:rPr>
              <w:t>25,869,796,000</w:t>
            </w:r>
          </w:p>
        </w:tc>
        <w:tc>
          <w:tcPr>
            <w:tcW w:w="586" w:type="pct"/>
            <w:shd w:val="clear" w:color="auto" w:fill="auto"/>
            <w:noWrap/>
            <w:vAlign w:val="bottom"/>
            <w:hideMark/>
          </w:tcPr>
          <w:p w:rsidR="00795BE2" w:rsidRPr="005A49D3" w:rsidRDefault="00795BE2" w:rsidP="009C4884">
            <w:pPr>
              <w:jc w:val="right"/>
              <w:rPr>
                <w:rFonts w:eastAsia="Times New Roman" w:cs="Calibri"/>
                <w:szCs w:val="22"/>
              </w:rPr>
            </w:pPr>
            <w:r w:rsidRPr="005A49D3">
              <w:rPr>
                <w:rFonts w:eastAsia="Times New Roman" w:cs="Calibri"/>
                <w:szCs w:val="22"/>
              </w:rPr>
              <w:t>17,365,000,000</w:t>
            </w:r>
          </w:p>
        </w:tc>
        <w:tc>
          <w:tcPr>
            <w:tcW w:w="697" w:type="pct"/>
            <w:shd w:val="clear" w:color="auto" w:fill="auto"/>
            <w:noWrap/>
            <w:vAlign w:val="bottom"/>
            <w:hideMark/>
          </w:tcPr>
          <w:p w:rsidR="00795BE2" w:rsidRPr="005A49D3" w:rsidRDefault="00795BE2" w:rsidP="009C4884">
            <w:pPr>
              <w:ind w:firstLineChars="15" w:firstLine="33"/>
              <w:jc w:val="right"/>
              <w:rPr>
                <w:rFonts w:eastAsia="Times New Roman" w:cs="Calibri"/>
                <w:szCs w:val="22"/>
              </w:rPr>
            </w:pPr>
            <w:r w:rsidRPr="005A49D3">
              <w:rPr>
                <w:rFonts w:eastAsia="Times New Roman" w:cs="Calibri"/>
                <w:szCs w:val="22"/>
              </w:rPr>
              <w:t>25,865,000,000</w:t>
            </w:r>
          </w:p>
        </w:tc>
        <w:tc>
          <w:tcPr>
            <w:tcW w:w="697" w:type="pct"/>
            <w:shd w:val="clear" w:color="auto" w:fill="auto"/>
            <w:noWrap/>
            <w:vAlign w:val="bottom"/>
            <w:hideMark/>
          </w:tcPr>
          <w:p w:rsidR="00795BE2" w:rsidRPr="005A49D3" w:rsidRDefault="00795BE2" w:rsidP="009C4884">
            <w:pPr>
              <w:ind w:firstLineChars="4" w:firstLine="9"/>
              <w:jc w:val="right"/>
              <w:rPr>
                <w:rFonts w:eastAsia="Times New Roman" w:cs="Calibri"/>
                <w:szCs w:val="22"/>
              </w:rPr>
            </w:pPr>
            <w:r w:rsidRPr="005A49D3">
              <w:rPr>
                <w:rFonts w:eastAsia="Times New Roman" w:cs="Calibri"/>
                <w:szCs w:val="22"/>
              </w:rPr>
              <w:t>27,675,550,000</w:t>
            </w:r>
          </w:p>
        </w:tc>
        <w:tc>
          <w:tcPr>
            <w:tcW w:w="697" w:type="pct"/>
            <w:shd w:val="clear" w:color="auto" w:fill="auto"/>
            <w:noWrap/>
            <w:vAlign w:val="bottom"/>
            <w:hideMark/>
          </w:tcPr>
          <w:p w:rsidR="00795BE2" w:rsidRPr="005A49D3" w:rsidRDefault="00795BE2" w:rsidP="009C4884">
            <w:pPr>
              <w:jc w:val="right"/>
              <w:rPr>
                <w:rFonts w:eastAsia="Times New Roman" w:cs="Calibri"/>
                <w:szCs w:val="22"/>
              </w:rPr>
            </w:pPr>
            <w:r w:rsidRPr="005A49D3">
              <w:rPr>
                <w:rFonts w:eastAsia="Times New Roman" w:cs="Calibri"/>
                <w:szCs w:val="22"/>
              </w:rPr>
              <w:t>29,612,838,500</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955CDD">
            <w:pPr>
              <w:rPr>
                <w:rFonts w:eastAsia="Times New Roman"/>
                <w:szCs w:val="22"/>
              </w:rPr>
            </w:pPr>
            <w:r w:rsidRPr="005A49D3">
              <w:rPr>
                <w:rFonts w:eastAsia="Times New Roman"/>
                <w:szCs w:val="22"/>
              </w:rPr>
              <w:t xml:space="preserve">Acquisition of Assets </w:t>
            </w:r>
          </w:p>
        </w:tc>
        <w:tc>
          <w:tcPr>
            <w:tcW w:w="285" w:type="pct"/>
          </w:tcPr>
          <w:p w:rsidR="00795BE2" w:rsidRPr="005A49D3" w:rsidRDefault="00795BE2" w:rsidP="009C4884">
            <w:pPr>
              <w:jc w:val="right"/>
              <w:rPr>
                <w:rFonts w:eastAsia="Times New Roman" w:cs="Calibri"/>
                <w:szCs w:val="22"/>
              </w:rPr>
            </w:pPr>
          </w:p>
        </w:tc>
        <w:tc>
          <w:tcPr>
            <w:tcW w:w="653" w:type="pct"/>
            <w:shd w:val="clear" w:color="auto" w:fill="auto"/>
            <w:noWrap/>
            <w:vAlign w:val="bottom"/>
            <w:hideMark/>
          </w:tcPr>
          <w:p w:rsidR="00795BE2" w:rsidRPr="005A49D3" w:rsidRDefault="00795BE2" w:rsidP="009C4884">
            <w:pPr>
              <w:jc w:val="right"/>
              <w:rPr>
                <w:rFonts w:eastAsia="Times New Roman" w:cs="Calibri"/>
                <w:szCs w:val="22"/>
              </w:rPr>
            </w:pPr>
            <w:r w:rsidRPr="005A49D3">
              <w:rPr>
                <w:rFonts w:eastAsia="Times New Roman" w:cs="Calibri"/>
                <w:szCs w:val="22"/>
              </w:rPr>
              <w:t>8,388,559,042</w:t>
            </w:r>
          </w:p>
        </w:tc>
        <w:tc>
          <w:tcPr>
            <w:tcW w:w="586" w:type="pct"/>
            <w:shd w:val="clear" w:color="auto" w:fill="auto"/>
            <w:noWrap/>
            <w:vAlign w:val="bottom"/>
            <w:hideMark/>
          </w:tcPr>
          <w:p w:rsidR="00795BE2" w:rsidRPr="005A49D3" w:rsidRDefault="00795BE2" w:rsidP="009C4884">
            <w:pPr>
              <w:jc w:val="right"/>
              <w:rPr>
                <w:rFonts w:eastAsia="Times New Roman" w:cs="Calibri"/>
                <w:szCs w:val="22"/>
              </w:rPr>
            </w:pPr>
            <w:r w:rsidRPr="005A49D3">
              <w:rPr>
                <w:rFonts w:eastAsia="Times New Roman" w:cs="Calibri"/>
                <w:szCs w:val="22"/>
              </w:rPr>
              <w:t>6,309,519,585</w:t>
            </w:r>
          </w:p>
        </w:tc>
        <w:tc>
          <w:tcPr>
            <w:tcW w:w="697" w:type="pct"/>
            <w:shd w:val="clear" w:color="auto" w:fill="auto"/>
            <w:noWrap/>
            <w:vAlign w:val="bottom"/>
            <w:hideMark/>
          </w:tcPr>
          <w:p w:rsidR="00795BE2" w:rsidRPr="005A49D3" w:rsidRDefault="00795BE2" w:rsidP="009C4884">
            <w:pPr>
              <w:ind w:firstLineChars="15" w:firstLine="33"/>
              <w:jc w:val="right"/>
              <w:rPr>
                <w:rFonts w:eastAsia="Times New Roman" w:cs="Calibri"/>
                <w:szCs w:val="22"/>
              </w:rPr>
            </w:pPr>
            <w:r w:rsidRPr="005A49D3">
              <w:rPr>
                <w:rFonts w:eastAsia="Times New Roman" w:cs="Calibri"/>
                <w:szCs w:val="22"/>
              </w:rPr>
              <w:t>6,695,185,956</w:t>
            </w:r>
          </w:p>
        </w:tc>
        <w:tc>
          <w:tcPr>
            <w:tcW w:w="697" w:type="pct"/>
            <w:shd w:val="clear" w:color="auto" w:fill="auto"/>
            <w:noWrap/>
            <w:vAlign w:val="bottom"/>
            <w:hideMark/>
          </w:tcPr>
          <w:p w:rsidR="00795BE2" w:rsidRPr="005A49D3" w:rsidRDefault="00795BE2" w:rsidP="009C4884">
            <w:pPr>
              <w:ind w:firstLineChars="4" w:firstLine="9"/>
              <w:jc w:val="right"/>
              <w:rPr>
                <w:rFonts w:eastAsia="Times New Roman" w:cs="Calibri"/>
                <w:szCs w:val="22"/>
              </w:rPr>
            </w:pPr>
            <w:r w:rsidRPr="005A49D3">
              <w:rPr>
                <w:rFonts w:eastAsia="Times New Roman" w:cs="Calibri"/>
                <w:szCs w:val="22"/>
              </w:rPr>
              <w:t>7,107,848,973</w:t>
            </w:r>
          </w:p>
        </w:tc>
        <w:tc>
          <w:tcPr>
            <w:tcW w:w="697" w:type="pct"/>
            <w:shd w:val="clear" w:color="auto" w:fill="auto"/>
            <w:noWrap/>
            <w:vAlign w:val="bottom"/>
            <w:hideMark/>
          </w:tcPr>
          <w:p w:rsidR="00795BE2" w:rsidRPr="005A49D3" w:rsidRDefault="00795BE2" w:rsidP="009C4884">
            <w:pPr>
              <w:jc w:val="right"/>
              <w:rPr>
                <w:rFonts w:eastAsia="Times New Roman" w:cs="Calibri"/>
                <w:szCs w:val="22"/>
              </w:rPr>
            </w:pPr>
            <w:r w:rsidRPr="005A49D3">
              <w:rPr>
                <w:rFonts w:eastAsia="Times New Roman" w:cs="Calibri"/>
                <w:szCs w:val="22"/>
              </w:rPr>
              <w:t>7,549,398,401</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955CDD">
            <w:pPr>
              <w:rPr>
                <w:rFonts w:eastAsia="Times New Roman"/>
                <w:b/>
                <w:bCs/>
                <w:szCs w:val="22"/>
              </w:rPr>
            </w:pPr>
            <w:r w:rsidRPr="005A49D3">
              <w:rPr>
                <w:rFonts w:eastAsia="Times New Roman"/>
                <w:b/>
                <w:bCs/>
                <w:szCs w:val="22"/>
              </w:rPr>
              <w:lastRenderedPageBreak/>
              <w:t>Development Budget</w:t>
            </w:r>
          </w:p>
        </w:tc>
        <w:tc>
          <w:tcPr>
            <w:tcW w:w="285" w:type="pct"/>
          </w:tcPr>
          <w:p w:rsidR="00795BE2" w:rsidRPr="005A49D3" w:rsidRDefault="00795BE2" w:rsidP="00B13461">
            <w:pPr>
              <w:jc w:val="center"/>
              <w:rPr>
                <w:rFonts w:eastAsia="Times New Roman" w:cs="Calibri"/>
                <w:b/>
                <w:bCs/>
                <w:szCs w:val="22"/>
              </w:rPr>
            </w:pPr>
          </w:p>
        </w:tc>
        <w:tc>
          <w:tcPr>
            <w:tcW w:w="653" w:type="pct"/>
            <w:shd w:val="clear" w:color="auto" w:fill="auto"/>
            <w:noWrap/>
            <w:vAlign w:val="bottom"/>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132,944,631,707</w:t>
            </w:r>
          </w:p>
        </w:tc>
        <w:tc>
          <w:tcPr>
            <w:tcW w:w="586" w:type="pct"/>
            <w:shd w:val="clear" w:color="auto" w:fill="auto"/>
            <w:noWrap/>
            <w:vAlign w:val="bottom"/>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124,194,097,095</w:t>
            </w:r>
          </w:p>
        </w:tc>
        <w:tc>
          <w:tcPr>
            <w:tcW w:w="697" w:type="pct"/>
            <w:shd w:val="clear" w:color="auto" w:fill="auto"/>
            <w:noWrap/>
            <w:vAlign w:val="bottom"/>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121,233,282,760</w:t>
            </w:r>
          </w:p>
        </w:tc>
        <w:tc>
          <w:tcPr>
            <w:tcW w:w="697" w:type="pct"/>
            <w:shd w:val="clear" w:color="auto" w:fill="auto"/>
            <w:noWrap/>
            <w:vAlign w:val="bottom"/>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111,618,659,536</w:t>
            </w:r>
          </w:p>
        </w:tc>
        <w:tc>
          <w:tcPr>
            <w:tcW w:w="697" w:type="pct"/>
            <w:shd w:val="clear" w:color="auto" w:fill="auto"/>
            <w:noWrap/>
            <w:vAlign w:val="bottom"/>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98,540,836,070</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955CDD">
            <w:pPr>
              <w:rPr>
                <w:rFonts w:eastAsia="Times New Roman"/>
                <w:szCs w:val="22"/>
              </w:rPr>
            </w:pPr>
            <w:r w:rsidRPr="005A49D3">
              <w:rPr>
                <w:rFonts w:eastAsia="Times New Roman"/>
                <w:szCs w:val="22"/>
              </w:rPr>
              <w:t>Discretionary</w:t>
            </w:r>
          </w:p>
        </w:tc>
        <w:tc>
          <w:tcPr>
            <w:tcW w:w="285" w:type="pct"/>
          </w:tcPr>
          <w:p w:rsidR="00795BE2" w:rsidRPr="005A49D3" w:rsidRDefault="00795BE2" w:rsidP="00B13461">
            <w:pPr>
              <w:jc w:val="center"/>
              <w:rPr>
                <w:rFonts w:eastAsia="Times New Roman" w:cs="Calibri"/>
                <w:szCs w:val="22"/>
              </w:rPr>
            </w:pPr>
          </w:p>
        </w:tc>
        <w:tc>
          <w:tcPr>
            <w:tcW w:w="653"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57,708,002,474</w:t>
            </w:r>
          </w:p>
        </w:tc>
        <w:tc>
          <w:tcPr>
            <w:tcW w:w="586"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61,222,063,395</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59,981,297,032</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55,463,753,270</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49,229,542,877</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955CDD">
            <w:pPr>
              <w:rPr>
                <w:rFonts w:eastAsia="Times New Roman"/>
                <w:szCs w:val="22"/>
              </w:rPr>
            </w:pPr>
            <w:r w:rsidRPr="005A49D3">
              <w:rPr>
                <w:rFonts w:eastAsia="Times New Roman"/>
                <w:szCs w:val="22"/>
              </w:rPr>
              <w:t>Non-Discretionary</w:t>
            </w:r>
          </w:p>
        </w:tc>
        <w:tc>
          <w:tcPr>
            <w:tcW w:w="285" w:type="pct"/>
          </w:tcPr>
          <w:p w:rsidR="00795BE2" w:rsidRPr="005A49D3" w:rsidRDefault="00795BE2" w:rsidP="00B13461">
            <w:pPr>
              <w:jc w:val="center"/>
              <w:rPr>
                <w:rFonts w:eastAsia="Times New Roman" w:cs="Calibri"/>
                <w:szCs w:val="22"/>
              </w:rPr>
            </w:pPr>
          </w:p>
        </w:tc>
        <w:tc>
          <w:tcPr>
            <w:tcW w:w="653"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75,236,629,233</w:t>
            </w:r>
          </w:p>
        </w:tc>
        <w:tc>
          <w:tcPr>
            <w:tcW w:w="586"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62,972,033,700</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61,251,985,728</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56,154,906,266</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49,311,293,192</w:t>
            </w:r>
          </w:p>
        </w:tc>
      </w:tr>
      <w:tr w:rsidR="00795BE2" w:rsidRPr="005A49D3" w:rsidTr="00795BE2">
        <w:trPr>
          <w:trHeight w:val="432"/>
          <w:jc w:val="center"/>
        </w:trPr>
        <w:tc>
          <w:tcPr>
            <w:tcW w:w="1384" w:type="pct"/>
            <w:shd w:val="clear" w:color="auto" w:fill="C6D9F1"/>
            <w:noWrap/>
            <w:vAlign w:val="bottom"/>
            <w:hideMark/>
          </w:tcPr>
          <w:p w:rsidR="00795BE2" w:rsidRPr="005A49D3" w:rsidRDefault="00795BE2" w:rsidP="00955CDD">
            <w:pPr>
              <w:rPr>
                <w:rFonts w:eastAsia="Times New Roman"/>
                <w:b/>
                <w:bCs/>
                <w:szCs w:val="22"/>
              </w:rPr>
            </w:pPr>
            <w:r w:rsidRPr="005A49D3">
              <w:rPr>
                <w:rFonts w:eastAsia="Times New Roman"/>
                <w:b/>
                <w:bCs/>
                <w:szCs w:val="22"/>
              </w:rPr>
              <w:t>Budget Deficit</w:t>
            </w:r>
          </w:p>
        </w:tc>
        <w:tc>
          <w:tcPr>
            <w:tcW w:w="285" w:type="pct"/>
            <w:shd w:val="clear" w:color="auto" w:fill="C6D9F1"/>
          </w:tcPr>
          <w:p w:rsidR="00795BE2" w:rsidRPr="005A49D3" w:rsidRDefault="00795BE2" w:rsidP="00B13461">
            <w:pPr>
              <w:jc w:val="center"/>
              <w:rPr>
                <w:rFonts w:eastAsia="Times New Roman" w:cs="Calibri"/>
                <w:b/>
                <w:bCs/>
                <w:szCs w:val="22"/>
              </w:rPr>
            </w:pPr>
          </w:p>
        </w:tc>
        <w:tc>
          <w:tcPr>
            <w:tcW w:w="653" w:type="pct"/>
            <w:shd w:val="clear" w:color="auto" w:fill="C6D9F1"/>
            <w:noWrap/>
            <w:vAlign w:val="bottom"/>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(16,123,648,815)</w:t>
            </w:r>
          </w:p>
        </w:tc>
        <w:tc>
          <w:tcPr>
            <w:tcW w:w="586" w:type="pct"/>
            <w:shd w:val="clear" w:color="auto" w:fill="C6D9F1"/>
            <w:noWrap/>
            <w:vAlign w:val="bottom"/>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(12,396,442,902)</w:t>
            </w:r>
          </w:p>
        </w:tc>
        <w:tc>
          <w:tcPr>
            <w:tcW w:w="697" w:type="pct"/>
            <w:shd w:val="clear" w:color="auto" w:fill="C6D9F1"/>
            <w:noWrap/>
            <w:vAlign w:val="bottom"/>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(35,200,415,942)</w:t>
            </w:r>
          </w:p>
        </w:tc>
        <w:tc>
          <w:tcPr>
            <w:tcW w:w="697" w:type="pct"/>
            <w:shd w:val="clear" w:color="auto" w:fill="C6D9F1"/>
            <w:noWrap/>
            <w:vAlign w:val="bottom"/>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(55,643,821,366)</w:t>
            </w:r>
          </w:p>
        </w:tc>
        <w:tc>
          <w:tcPr>
            <w:tcW w:w="697" w:type="pct"/>
            <w:shd w:val="clear" w:color="auto" w:fill="C6D9F1"/>
            <w:noWrap/>
            <w:vAlign w:val="bottom"/>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(76,011,013,552)</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955CDD">
            <w:pPr>
              <w:rPr>
                <w:rFonts w:eastAsia="Times New Roman"/>
                <w:szCs w:val="22"/>
              </w:rPr>
            </w:pPr>
            <w:r w:rsidRPr="005A49D3">
              <w:rPr>
                <w:rFonts w:eastAsia="Times New Roman"/>
                <w:szCs w:val="22"/>
              </w:rPr>
              <w:t>Financing</w:t>
            </w:r>
          </w:p>
        </w:tc>
        <w:tc>
          <w:tcPr>
            <w:tcW w:w="285" w:type="pct"/>
          </w:tcPr>
          <w:p w:rsidR="00795BE2" w:rsidRPr="005A49D3" w:rsidRDefault="00795BE2" w:rsidP="00B13461">
            <w:pPr>
              <w:jc w:val="center"/>
              <w:rPr>
                <w:rFonts w:eastAsia="Times New Roman" w:cs="Calibri"/>
                <w:szCs w:val="22"/>
              </w:rPr>
            </w:pPr>
          </w:p>
        </w:tc>
        <w:tc>
          <w:tcPr>
            <w:tcW w:w="653"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10,000,000,000</w:t>
            </w:r>
          </w:p>
        </w:tc>
        <w:tc>
          <w:tcPr>
            <w:tcW w:w="586"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2,900,000,000</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10,000,000,000</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10,000,000,000</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10,000,000,000</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955CDD">
            <w:pPr>
              <w:rPr>
                <w:rFonts w:eastAsia="Times New Roman"/>
                <w:szCs w:val="22"/>
              </w:rPr>
            </w:pPr>
            <w:r w:rsidRPr="005A49D3">
              <w:rPr>
                <w:rFonts w:eastAsia="Times New Roman"/>
                <w:szCs w:val="22"/>
              </w:rPr>
              <w:t>DAB Recapitalization</w:t>
            </w:r>
          </w:p>
        </w:tc>
        <w:tc>
          <w:tcPr>
            <w:tcW w:w="285" w:type="pct"/>
          </w:tcPr>
          <w:p w:rsidR="00795BE2" w:rsidRPr="005A49D3" w:rsidRDefault="00795BE2" w:rsidP="00B13461">
            <w:pPr>
              <w:jc w:val="center"/>
              <w:rPr>
                <w:rFonts w:eastAsia="Times New Roman" w:cs="Calibri"/>
                <w:szCs w:val="22"/>
              </w:rPr>
            </w:pPr>
          </w:p>
        </w:tc>
        <w:tc>
          <w:tcPr>
            <w:tcW w:w="653"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w:t>
            </w:r>
          </w:p>
        </w:tc>
        <w:tc>
          <w:tcPr>
            <w:tcW w:w="586"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(7,100,000,000)</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w:t>
            </w:r>
          </w:p>
        </w:tc>
      </w:tr>
      <w:tr w:rsidR="00795BE2" w:rsidRPr="005A49D3" w:rsidTr="00795BE2">
        <w:trPr>
          <w:trHeight w:val="432"/>
          <w:jc w:val="center"/>
        </w:trPr>
        <w:tc>
          <w:tcPr>
            <w:tcW w:w="1384" w:type="pct"/>
            <w:shd w:val="clear" w:color="auto" w:fill="auto"/>
            <w:noWrap/>
            <w:vAlign w:val="bottom"/>
            <w:hideMark/>
          </w:tcPr>
          <w:p w:rsidR="00795BE2" w:rsidRPr="005A49D3" w:rsidRDefault="00795BE2" w:rsidP="00955CDD">
            <w:pPr>
              <w:rPr>
                <w:rFonts w:eastAsia="Times New Roman"/>
                <w:szCs w:val="22"/>
              </w:rPr>
            </w:pPr>
            <w:r w:rsidRPr="005A49D3">
              <w:rPr>
                <w:rFonts w:eastAsia="Times New Roman"/>
                <w:szCs w:val="22"/>
              </w:rPr>
              <w:t>Reserved Funds</w:t>
            </w:r>
          </w:p>
        </w:tc>
        <w:tc>
          <w:tcPr>
            <w:tcW w:w="285" w:type="pct"/>
          </w:tcPr>
          <w:p w:rsidR="00795BE2" w:rsidRPr="005A49D3" w:rsidRDefault="00795BE2" w:rsidP="00B13461">
            <w:pPr>
              <w:jc w:val="center"/>
              <w:rPr>
                <w:rFonts w:eastAsia="Times New Roman" w:cs="Calibri"/>
                <w:szCs w:val="22"/>
              </w:rPr>
            </w:pPr>
          </w:p>
        </w:tc>
        <w:tc>
          <w:tcPr>
            <w:tcW w:w="653"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10,000,000,000</w:t>
            </w:r>
          </w:p>
        </w:tc>
        <w:tc>
          <w:tcPr>
            <w:tcW w:w="586"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10,000,000,000</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10,000,000,000</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10,000,000,000</w:t>
            </w:r>
          </w:p>
        </w:tc>
        <w:tc>
          <w:tcPr>
            <w:tcW w:w="697" w:type="pct"/>
            <w:shd w:val="clear" w:color="auto" w:fill="auto"/>
            <w:noWrap/>
            <w:vAlign w:val="bottom"/>
            <w:hideMark/>
          </w:tcPr>
          <w:p w:rsidR="00795BE2" w:rsidRPr="005A49D3" w:rsidRDefault="00795BE2" w:rsidP="00B13461">
            <w:pPr>
              <w:jc w:val="center"/>
              <w:rPr>
                <w:rFonts w:eastAsia="Times New Roman" w:cs="Calibri"/>
                <w:szCs w:val="22"/>
              </w:rPr>
            </w:pPr>
            <w:r w:rsidRPr="005A49D3">
              <w:rPr>
                <w:rFonts w:eastAsia="Times New Roman" w:cs="Calibri"/>
                <w:szCs w:val="22"/>
              </w:rPr>
              <w:t>10,000,000,000</w:t>
            </w:r>
          </w:p>
        </w:tc>
      </w:tr>
      <w:tr w:rsidR="00795BE2" w:rsidRPr="005A49D3" w:rsidTr="00795BE2">
        <w:trPr>
          <w:trHeight w:val="432"/>
          <w:jc w:val="center"/>
        </w:trPr>
        <w:tc>
          <w:tcPr>
            <w:tcW w:w="1384" w:type="pct"/>
            <w:shd w:val="clear" w:color="auto" w:fill="C6D9F1"/>
            <w:noWrap/>
            <w:vAlign w:val="center"/>
            <w:hideMark/>
          </w:tcPr>
          <w:p w:rsidR="00795BE2" w:rsidRPr="005A49D3" w:rsidRDefault="00795BE2" w:rsidP="00955CDD">
            <w:pPr>
              <w:rPr>
                <w:rFonts w:eastAsia="Times New Roman"/>
                <w:b/>
                <w:bCs/>
                <w:szCs w:val="22"/>
              </w:rPr>
            </w:pPr>
            <w:r w:rsidRPr="005A49D3">
              <w:rPr>
                <w:rFonts w:eastAsia="Times New Roman"/>
                <w:b/>
                <w:bCs/>
                <w:szCs w:val="22"/>
              </w:rPr>
              <w:t>Balance</w:t>
            </w:r>
          </w:p>
        </w:tc>
        <w:tc>
          <w:tcPr>
            <w:tcW w:w="285" w:type="pct"/>
            <w:shd w:val="clear" w:color="auto" w:fill="C6D9F1"/>
          </w:tcPr>
          <w:p w:rsidR="00795BE2" w:rsidRPr="005A49D3" w:rsidRDefault="00795BE2" w:rsidP="00B13461">
            <w:pPr>
              <w:jc w:val="center"/>
              <w:rPr>
                <w:rFonts w:eastAsia="Times New Roman" w:cs="Calibri"/>
                <w:b/>
                <w:bCs/>
                <w:szCs w:val="22"/>
              </w:rPr>
            </w:pPr>
          </w:p>
        </w:tc>
        <w:tc>
          <w:tcPr>
            <w:tcW w:w="653" w:type="pct"/>
            <w:shd w:val="clear" w:color="auto" w:fill="C6D9F1"/>
            <w:noWrap/>
            <w:vAlign w:val="center"/>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(6,123,648,815)</w:t>
            </w:r>
          </w:p>
        </w:tc>
        <w:tc>
          <w:tcPr>
            <w:tcW w:w="586" w:type="pct"/>
            <w:shd w:val="clear" w:color="auto" w:fill="C6D9F1"/>
            <w:noWrap/>
            <w:vAlign w:val="center"/>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(9,496,442,902)</w:t>
            </w:r>
          </w:p>
        </w:tc>
        <w:tc>
          <w:tcPr>
            <w:tcW w:w="697" w:type="pct"/>
            <w:shd w:val="clear" w:color="auto" w:fill="C6D9F1"/>
            <w:noWrap/>
            <w:vAlign w:val="center"/>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(25,200,415,942)</w:t>
            </w:r>
          </w:p>
        </w:tc>
        <w:tc>
          <w:tcPr>
            <w:tcW w:w="697" w:type="pct"/>
            <w:shd w:val="clear" w:color="auto" w:fill="C6D9F1"/>
            <w:noWrap/>
            <w:vAlign w:val="center"/>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(45,643,821,366)</w:t>
            </w:r>
          </w:p>
        </w:tc>
        <w:tc>
          <w:tcPr>
            <w:tcW w:w="697" w:type="pct"/>
            <w:shd w:val="clear" w:color="auto" w:fill="C6D9F1"/>
            <w:noWrap/>
            <w:vAlign w:val="center"/>
            <w:hideMark/>
          </w:tcPr>
          <w:p w:rsidR="00795BE2" w:rsidRPr="005A49D3" w:rsidRDefault="00795BE2" w:rsidP="00B13461">
            <w:pPr>
              <w:jc w:val="center"/>
              <w:rPr>
                <w:rFonts w:eastAsia="Times New Roman" w:cs="Calibri"/>
                <w:b/>
                <w:bCs/>
                <w:szCs w:val="22"/>
              </w:rPr>
            </w:pPr>
            <w:r w:rsidRPr="005A49D3">
              <w:rPr>
                <w:rFonts w:eastAsia="Times New Roman" w:cs="Calibri"/>
                <w:b/>
                <w:bCs/>
                <w:szCs w:val="22"/>
              </w:rPr>
              <w:t>(66,011,013,552)</w:t>
            </w:r>
          </w:p>
        </w:tc>
      </w:tr>
    </w:tbl>
    <w:p w:rsidR="000D2950" w:rsidRPr="005A49D3" w:rsidRDefault="000D2950">
      <w:pPr>
        <w:rPr>
          <w:szCs w:val="22"/>
        </w:rPr>
      </w:pPr>
    </w:p>
    <w:p w:rsidR="00C97BE2" w:rsidRPr="005A49D3" w:rsidRDefault="00C97BE2" w:rsidP="00B13461">
      <w:pPr>
        <w:spacing w:line="0" w:lineRule="atLeast"/>
        <w:rPr>
          <w:rFonts w:ascii="Corbel" w:eastAsia="Corbel" w:hAnsi="Corbel"/>
          <w:color w:val="727F72"/>
          <w:szCs w:val="22"/>
        </w:rPr>
      </w:pPr>
    </w:p>
    <w:p w:rsidR="00C97BE2" w:rsidRPr="005A49D3" w:rsidRDefault="00C97BE2" w:rsidP="00B13461">
      <w:pPr>
        <w:spacing w:line="0" w:lineRule="atLeast"/>
        <w:rPr>
          <w:rFonts w:ascii="Corbel" w:eastAsia="Corbel" w:hAnsi="Corbel"/>
          <w:color w:val="727F72"/>
          <w:szCs w:val="22"/>
        </w:rPr>
      </w:pPr>
    </w:p>
    <w:p w:rsidR="00C97BE2" w:rsidRPr="005A49D3" w:rsidRDefault="00C97BE2" w:rsidP="00B13461">
      <w:pPr>
        <w:spacing w:line="0" w:lineRule="atLeast"/>
        <w:rPr>
          <w:rFonts w:ascii="Corbel" w:eastAsia="Corbel" w:hAnsi="Corbel"/>
          <w:color w:val="727F72"/>
          <w:szCs w:val="22"/>
        </w:rPr>
      </w:pPr>
    </w:p>
    <w:p w:rsidR="00C97BE2" w:rsidRPr="005A49D3" w:rsidRDefault="00C97BE2" w:rsidP="00B13461">
      <w:pPr>
        <w:spacing w:line="0" w:lineRule="atLeast"/>
        <w:rPr>
          <w:rFonts w:ascii="Corbel" w:eastAsia="Corbel" w:hAnsi="Corbel"/>
          <w:color w:val="727F72"/>
          <w:szCs w:val="22"/>
        </w:rPr>
      </w:pPr>
    </w:p>
    <w:p w:rsidR="00C97BE2" w:rsidRPr="005A49D3" w:rsidRDefault="00C97BE2" w:rsidP="00B13461">
      <w:pPr>
        <w:spacing w:line="0" w:lineRule="atLeast"/>
        <w:rPr>
          <w:rFonts w:ascii="Corbel" w:eastAsia="Corbel" w:hAnsi="Corbel"/>
          <w:color w:val="727F72"/>
          <w:szCs w:val="22"/>
        </w:rPr>
      </w:pPr>
    </w:p>
    <w:p w:rsidR="00C97BE2" w:rsidRPr="005A49D3" w:rsidRDefault="00C97BE2" w:rsidP="00B13461">
      <w:pPr>
        <w:spacing w:line="0" w:lineRule="atLeast"/>
        <w:rPr>
          <w:rFonts w:ascii="Corbel" w:eastAsia="Corbel" w:hAnsi="Corbel"/>
          <w:color w:val="727F72"/>
          <w:szCs w:val="22"/>
        </w:rPr>
      </w:pPr>
    </w:p>
    <w:p w:rsidR="00C97BE2" w:rsidRPr="005A49D3" w:rsidRDefault="00C97BE2" w:rsidP="00B13461">
      <w:pPr>
        <w:spacing w:line="0" w:lineRule="atLeast"/>
        <w:rPr>
          <w:rFonts w:ascii="Corbel" w:eastAsia="Corbel" w:hAnsi="Corbel"/>
          <w:color w:val="727F72"/>
          <w:szCs w:val="22"/>
        </w:rPr>
      </w:pPr>
    </w:p>
    <w:p w:rsidR="00C97BE2" w:rsidRPr="005A49D3" w:rsidRDefault="00C97BE2" w:rsidP="00B13461">
      <w:pPr>
        <w:spacing w:line="0" w:lineRule="atLeast"/>
        <w:rPr>
          <w:rFonts w:ascii="Corbel" w:eastAsia="Corbel" w:hAnsi="Corbel"/>
          <w:color w:val="727F72"/>
          <w:szCs w:val="22"/>
        </w:rPr>
      </w:pPr>
    </w:p>
    <w:p w:rsidR="00C97BE2" w:rsidRPr="005A49D3" w:rsidRDefault="00C97BE2" w:rsidP="00B13461">
      <w:pPr>
        <w:spacing w:line="0" w:lineRule="atLeast"/>
        <w:rPr>
          <w:rFonts w:ascii="Corbel" w:eastAsia="Corbel" w:hAnsi="Corbel"/>
          <w:color w:val="727F72"/>
          <w:szCs w:val="22"/>
        </w:rPr>
        <w:sectPr w:rsidR="00C97BE2" w:rsidRPr="005A49D3" w:rsidSect="009D6E9F">
          <w:pgSz w:w="16838" w:h="11906" w:orient="landscape" w:code="9"/>
          <w:pgMar w:top="1800" w:right="1440" w:bottom="1800" w:left="1440" w:header="720" w:footer="720" w:gutter="0"/>
          <w:cols w:space="708"/>
          <w:docGrid w:linePitch="360"/>
        </w:sectPr>
      </w:pPr>
    </w:p>
    <w:p w:rsidR="00B13461" w:rsidRPr="005A49D3" w:rsidRDefault="00B13461" w:rsidP="005F2008">
      <w:pPr>
        <w:pStyle w:val="Heading3"/>
        <w:rPr>
          <w:rFonts w:eastAsia="Corbel"/>
        </w:rPr>
      </w:pPr>
      <w:bookmarkStart w:id="7" w:name="_Toc535744255"/>
      <w:bookmarkStart w:id="8" w:name="_Toc535750184"/>
      <w:r w:rsidRPr="005A49D3">
        <w:rPr>
          <w:rFonts w:eastAsia="Corbel"/>
        </w:rPr>
        <w:lastRenderedPageBreak/>
        <w:t>Economic Outlook</w:t>
      </w:r>
      <w:bookmarkEnd w:id="7"/>
      <w:bookmarkEnd w:id="8"/>
    </w:p>
    <w:p w:rsidR="00B13461" w:rsidRPr="005A49D3" w:rsidRDefault="00B13461" w:rsidP="00B13461">
      <w:pPr>
        <w:spacing w:line="167" w:lineRule="exact"/>
        <w:rPr>
          <w:rFonts w:ascii="Times New Roman" w:eastAsia="Times New Roman" w:hAnsi="Times New Roman"/>
          <w:szCs w:val="22"/>
        </w:rPr>
      </w:pPr>
    </w:p>
    <w:p w:rsidR="00B13461" w:rsidRDefault="00B13461" w:rsidP="000615B8">
      <w:pPr>
        <w:spacing w:line="275" w:lineRule="auto"/>
        <w:ind w:right="366"/>
        <w:jc w:val="both"/>
        <w:rPr>
          <w:rFonts w:eastAsia="Garamond"/>
          <w:szCs w:val="22"/>
        </w:rPr>
      </w:pPr>
      <w:r w:rsidRPr="000615B8">
        <w:rPr>
          <w:rFonts w:eastAsia="Garamond"/>
          <w:szCs w:val="22"/>
        </w:rPr>
        <w:t xml:space="preserve">The estimated economic growth for 1398 is 3.0%, which demonstrates 0.8% increase compared to 2018. The estimated GDP for 2019 of 3 percent is mainly driven by recovery of agriculture production and because government is executing the development budget in large quantities which leads to more economic activity because of higher demand for construction and electricity, gas, water. In Afghanistan growth is mainly driven by the agriculture sector (mainly fruits and cereals) and the share of agriculture in total GDP is about 21 percent and slightly increases to 22.4 percent in 2022. Medium term economic growth is expected to reach 4.5 percent in 2022. </w:t>
      </w:r>
    </w:p>
    <w:p w:rsidR="004504AC" w:rsidRPr="000615B8" w:rsidRDefault="004504AC" w:rsidP="000615B8">
      <w:pPr>
        <w:spacing w:line="275" w:lineRule="auto"/>
        <w:ind w:right="366"/>
        <w:jc w:val="both"/>
        <w:rPr>
          <w:rFonts w:eastAsia="Garamond"/>
          <w:szCs w:val="22"/>
        </w:rPr>
      </w:pPr>
    </w:p>
    <w:p w:rsidR="004504AC" w:rsidRDefault="004504AC" w:rsidP="004504AC">
      <w:pPr>
        <w:pStyle w:val="Caption"/>
        <w:keepNext/>
        <w:bidi w:val="0"/>
        <w:jc w:val="left"/>
        <w:rPr>
          <w:rFonts w:ascii="Garamond" w:hAnsi="Garamond"/>
          <w:sz w:val="22"/>
          <w:szCs w:val="22"/>
        </w:rPr>
      </w:pPr>
      <w:bookmarkStart w:id="9" w:name="_Toc535750263"/>
      <w:r w:rsidRPr="004504AC">
        <w:rPr>
          <w:rFonts w:ascii="Garamond" w:hAnsi="Garamond"/>
          <w:sz w:val="22"/>
          <w:szCs w:val="22"/>
        </w:rPr>
        <w:t xml:space="preserve">Table </w:t>
      </w:r>
      <w:r w:rsidRPr="004504AC">
        <w:rPr>
          <w:rFonts w:ascii="Garamond" w:hAnsi="Garamond"/>
          <w:sz w:val="22"/>
          <w:szCs w:val="22"/>
        </w:rPr>
        <w:fldChar w:fldCharType="begin"/>
      </w:r>
      <w:r w:rsidRPr="004504AC">
        <w:rPr>
          <w:rFonts w:ascii="Garamond" w:hAnsi="Garamond"/>
          <w:sz w:val="22"/>
          <w:szCs w:val="22"/>
        </w:rPr>
        <w:instrText xml:space="preserve"> SEQ Table \* ARABIC </w:instrText>
      </w:r>
      <w:r w:rsidRPr="004504AC">
        <w:rPr>
          <w:rFonts w:ascii="Garamond" w:hAnsi="Garamond"/>
          <w:sz w:val="22"/>
          <w:szCs w:val="22"/>
        </w:rPr>
        <w:fldChar w:fldCharType="separate"/>
      </w:r>
      <w:r w:rsidR="00862183">
        <w:rPr>
          <w:rFonts w:ascii="Garamond" w:hAnsi="Garamond"/>
          <w:noProof/>
          <w:sz w:val="22"/>
          <w:szCs w:val="22"/>
        </w:rPr>
        <w:t>2</w:t>
      </w:r>
      <w:r w:rsidRPr="004504AC">
        <w:rPr>
          <w:rFonts w:ascii="Garamond" w:hAnsi="Garamond"/>
          <w:sz w:val="22"/>
          <w:szCs w:val="22"/>
        </w:rPr>
        <w:fldChar w:fldCharType="end"/>
      </w:r>
      <w:r>
        <w:rPr>
          <w:rFonts w:ascii="Garamond" w:hAnsi="Garamond"/>
          <w:sz w:val="22"/>
          <w:szCs w:val="22"/>
        </w:rPr>
        <w:t>:</w:t>
      </w:r>
      <w:r w:rsidRPr="004504AC">
        <w:rPr>
          <w:rFonts w:ascii="Garamond" w:hAnsi="Garamond"/>
          <w:sz w:val="22"/>
          <w:szCs w:val="22"/>
        </w:rPr>
        <w:t xml:space="preserve"> Medium Term Macro Framework</w:t>
      </w:r>
      <w:bookmarkEnd w:id="9"/>
    </w:p>
    <w:tbl>
      <w:tblPr>
        <w:tblW w:w="5065" w:type="pct"/>
        <w:jc w:val="center"/>
        <w:tblLook w:val="04A0" w:firstRow="1" w:lastRow="0" w:firstColumn="1" w:lastColumn="0" w:noHBand="0" w:noVBand="1"/>
      </w:tblPr>
      <w:tblGrid>
        <w:gridCol w:w="2094"/>
        <w:gridCol w:w="542"/>
        <w:gridCol w:w="974"/>
        <w:gridCol w:w="1090"/>
        <w:gridCol w:w="960"/>
        <w:gridCol w:w="960"/>
        <w:gridCol w:w="960"/>
        <w:gridCol w:w="1053"/>
      </w:tblGrid>
      <w:tr w:rsidR="00B13461" w:rsidRPr="005A49D3" w:rsidTr="004504AC">
        <w:trPr>
          <w:trHeight w:val="250"/>
          <w:jc w:val="center"/>
        </w:trPr>
        <w:tc>
          <w:tcPr>
            <w:tcW w:w="2094" w:type="dxa"/>
            <w:tcBorders>
              <w:top w:val="single" w:sz="4" w:space="0" w:color="auto"/>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In percentage change</w:t>
            </w:r>
          </w:p>
        </w:tc>
        <w:tc>
          <w:tcPr>
            <w:tcW w:w="542" w:type="dxa"/>
            <w:tcBorders>
              <w:top w:val="single" w:sz="4" w:space="0" w:color="auto"/>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single" w:sz="4" w:space="0" w:color="auto"/>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Historic</w:t>
            </w:r>
          </w:p>
        </w:tc>
        <w:tc>
          <w:tcPr>
            <w:tcW w:w="1090" w:type="dxa"/>
            <w:tcBorders>
              <w:top w:val="single" w:sz="4" w:space="0" w:color="auto"/>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Current</w:t>
            </w:r>
          </w:p>
        </w:tc>
        <w:tc>
          <w:tcPr>
            <w:tcW w:w="960" w:type="dxa"/>
            <w:tcBorders>
              <w:top w:val="single" w:sz="4" w:space="0" w:color="auto"/>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Budget</w:t>
            </w:r>
          </w:p>
        </w:tc>
        <w:tc>
          <w:tcPr>
            <w:tcW w:w="2973" w:type="dxa"/>
            <w:gridSpan w:val="3"/>
            <w:tcBorders>
              <w:top w:val="single" w:sz="4" w:space="0" w:color="auto"/>
              <w:left w:val="nil"/>
              <w:bottom w:val="single" w:sz="4" w:space="0" w:color="auto"/>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Outer Years</w:t>
            </w:r>
          </w:p>
        </w:tc>
      </w:tr>
      <w:tr w:rsidR="00B13461" w:rsidRPr="005A49D3" w:rsidTr="004504AC">
        <w:trPr>
          <w:trHeight w:val="250"/>
          <w:jc w:val="center"/>
        </w:trPr>
        <w:tc>
          <w:tcPr>
            <w:tcW w:w="2094" w:type="dxa"/>
            <w:tcBorders>
              <w:top w:val="nil"/>
              <w:left w:val="nil"/>
              <w:bottom w:val="single" w:sz="4" w:space="0" w:color="auto"/>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Unless otherwise noted</w:t>
            </w:r>
          </w:p>
        </w:tc>
        <w:tc>
          <w:tcPr>
            <w:tcW w:w="542" w:type="dxa"/>
            <w:tcBorders>
              <w:top w:val="nil"/>
              <w:left w:val="nil"/>
              <w:bottom w:val="single" w:sz="4" w:space="0" w:color="auto"/>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nil"/>
              <w:left w:val="nil"/>
              <w:bottom w:val="single" w:sz="4" w:space="0" w:color="auto"/>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2017</w:t>
            </w:r>
          </w:p>
        </w:tc>
        <w:tc>
          <w:tcPr>
            <w:tcW w:w="1090" w:type="dxa"/>
            <w:tcBorders>
              <w:top w:val="nil"/>
              <w:left w:val="nil"/>
              <w:bottom w:val="single" w:sz="4" w:space="0" w:color="auto"/>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2018</w:t>
            </w:r>
          </w:p>
        </w:tc>
        <w:tc>
          <w:tcPr>
            <w:tcW w:w="960" w:type="dxa"/>
            <w:tcBorders>
              <w:top w:val="nil"/>
              <w:left w:val="nil"/>
              <w:bottom w:val="single" w:sz="4" w:space="0" w:color="auto"/>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2019</w:t>
            </w:r>
          </w:p>
        </w:tc>
        <w:tc>
          <w:tcPr>
            <w:tcW w:w="960" w:type="dxa"/>
            <w:tcBorders>
              <w:top w:val="nil"/>
              <w:left w:val="nil"/>
              <w:bottom w:val="single" w:sz="4" w:space="0" w:color="auto"/>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2020</w:t>
            </w:r>
          </w:p>
        </w:tc>
        <w:tc>
          <w:tcPr>
            <w:tcW w:w="960" w:type="dxa"/>
            <w:tcBorders>
              <w:top w:val="nil"/>
              <w:left w:val="nil"/>
              <w:bottom w:val="single" w:sz="4" w:space="0" w:color="auto"/>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2021</w:t>
            </w:r>
          </w:p>
        </w:tc>
        <w:tc>
          <w:tcPr>
            <w:tcW w:w="1053" w:type="dxa"/>
            <w:tcBorders>
              <w:top w:val="nil"/>
              <w:left w:val="nil"/>
              <w:bottom w:val="single" w:sz="4" w:space="0" w:color="auto"/>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2022</w:t>
            </w:r>
          </w:p>
        </w:tc>
      </w:tr>
      <w:tr w:rsidR="00B13461" w:rsidRPr="005A49D3" w:rsidTr="004504AC">
        <w:trPr>
          <w:trHeight w:val="250"/>
          <w:jc w:val="center"/>
        </w:trPr>
        <w:tc>
          <w:tcPr>
            <w:tcW w:w="2094"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542"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1090"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1053"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r>
      <w:tr w:rsidR="00B13461" w:rsidRPr="005A49D3" w:rsidTr="004504AC">
        <w:trPr>
          <w:trHeight w:val="250"/>
          <w:jc w:val="center"/>
        </w:trPr>
        <w:tc>
          <w:tcPr>
            <w:tcW w:w="2094"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Real GDP Growth - Market Price</w:t>
            </w:r>
          </w:p>
        </w:tc>
        <w:tc>
          <w:tcPr>
            <w:tcW w:w="542"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2.9%</w:t>
            </w:r>
          </w:p>
        </w:tc>
        <w:tc>
          <w:tcPr>
            <w:tcW w:w="109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2.2%</w:t>
            </w: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3.0%</w:t>
            </w: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3.6%</w:t>
            </w: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3.8%</w:t>
            </w:r>
          </w:p>
        </w:tc>
        <w:tc>
          <w:tcPr>
            <w:tcW w:w="1053"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4.5%</w:t>
            </w:r>
          </w:p>
        </w:tc>
      </w:tr>
      <w:tr w:rsidR="00B13461" w:rsidRPr="005A49D3" w:rsidTr="004504AC">
        <w:trPr>
          <w:trHeight w:val="250"/>
          <w:jc w:val="center"/>
        </w:trPr>
        <w:tc>
          <w:tcPr>
            <w:tcW w:w="2094"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Nominal GDP Level (</w:t>
            </w:r>
            <w:r w:rsidRPr="005A49D3">
              <w:rPr>
                <w:rFonts w:ascii="Times New Roman" w:eastAsia="Times New Roman" w:hAnsi="Times New Roman" w:cs="Times New Roman"/>
                <w:szCs w:val="22"/>
              </w:rPr>
              <w:t>Afs bn</w:t>
            </w:r>
            <w:r w:rsidRPr="005A49D3">
              <w:rPr>
                <w:rFonts w:ascii="Times New Roman" w:eastAsia="Times New Roman" w:hAnsi="Times New Roman" w:cs="Times New Roman"/>
                <w:b/>
                <w:bCs/>
                <w:szCs w:val="22"/>
              </w:rPr>
              <w:t>)</w:t>
            </w:r>
          </w:p>
        </w:tc>
        <w:tc>
          <w:tcPr>
            <w:tcW w:w="542"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1384.9</w:t>
            </w:r>
          </w:p>
        </w:tc>
        <w:tc>
          <w:tcPr>
            <w:tcW w:w="109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1485.6</w:t>
            </w: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1564.0</w:t>
            </w: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1689.3</w:t>
            </w: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1849.6</w:t>
            </w:r>
          </w:p>
        </w:tc>
        <w:tc>
          <w:tcPr>
            <w:tcW w:w="1053"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2037.0</w:t>
            </w:r>
          </w:p>
        </w:tc>
      </w:tr>
      <w:tr w:rsidR="00B13461" w:rsidRPr="005A49D3" w:rsidTr="004504AC">
        <w:trPr>
          <w:trHeight w:val="250"/>
          <w:jc w:val="center"/>
        </w:trPr>
        <w:tc>
          <w:tcPr>
            <w:tcW w:w="2094"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542"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109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1053"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r>
      <w:tr w:rsidR="00B13461" w:rsidRPr="005A49D3" w:rsidTr="004504AC">
        <w:trPr>
          <w:trHeight w:val="250"/>
          <w:jc w:val="center"/>
        </w:trPr>
        <w:tc>
          <w:tcPr>
            <w:tcW w:w="2094"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NGDP by Sector (</w:t>
            </w:r>
            <w:r w:rsidRPr="005A49D3">
              <w:rPr>
                <w:rFonts w:ascii="Times New Roman" w:eastAsia="Times New Roman" w:hAnsi="Times New Roman" w:cs="Times New Roman"/>
                <w:szCs w:val="22"/>
              </w:rPr>
              <w:t>Afs bn</w:t>
            </w:r>
            <w:r w:rsidRPr="005A49D3">
              <w:rPr>
                <w:rFonts w:ascii="Times New Roman" w:eastAsia="Times New Roman" w:hAnsi="Times New Roman" w:cs="Times New Roman"/>
                <w:b/>
                <w:bCs/>
                <w:szCs w:val="22"/>
              </w:rPr>
              <w:t>)</w:t>
            </w:r>
          </w:p>
        </w:tc>
        <w:tc>
          <w:tcPr>
            <w:tcW w:w="542"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109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1053"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r>
      <w:tr w:rsidR="00B13461" w:rsidRPr="005A49D3" w:rsidTr="004504AC">
        <w:trPr>
          <w:trHeight w:val="250"/>
          <w:jc w:val="center"/>
        </w:trPr>
        <w:tc>
          <w:tcPr>
            <w:tcW w:w="2094"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Primary (Agriculture)</w:t>
            </w:r>
          </w:p>
        </w:tc>
        <w:tc>
          <w:tcPr>
            <w:tcW w:w="542"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281.5</w:t>
            </w:r>
          </w:p>
        </w:tc>
        <w:tc>
          <w:tcPr>
            <w:tcW w:w="109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286.5</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321.6</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361.8</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406.5</w:t>
            </w:r>
          </w:p>
        </w:tc>
        <w:tc>
          <w:tcPr>
            <w:tcW w:w="1053"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455.6</w:t>
            </w:r>
          </w:p>
        </w:tc>
      </w:tr>
      <w:tr w:rsidR="00B13461" w:rsidRPr="005A49D3" w:rsidTr="004504AC">
        <w:trPr>
          <w:trHeight w:val="250"/>
          <w:jc w:val="center"/>
        </w:trPr>
        <w:tc>
          <w:tcPr>
            <w:tcW w:w="2094"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Secondary (Industries)</w:t>
            </w:r>
          </w:p>
        </w:tc>
        <w:tc>
          <w:tcPr>
            <w:tcW w:w="542"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307.5</w:t>
            </w:r>
          </w:p>
        </w:tc>
        <w:tc>
          <w:tcPr>
            <w:tcW w:w="109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344.4</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350.0</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362.9</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388.9</w:t>
            </w:r>
          </w:p>
        </w:tc>
        <w:tc>
          <w:tcPr>
            <w:tcW w:w="1053"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427.2</w:t>
            </w:r>
          </w:p>
        </w:tc>
      </w:tr>
      <w:tr w:rsidR="00B13461" w:rsidRPr="005A49D3" w:rsidTr="004504AC">
        <w:trPr>
          <w:trHeight w:val="250"/>
          <w:jc w:val="center"/>
        </w:trPr>
        <w:tc>
          <w:tcPr>
            <w:tcW w:w="2094"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Tertiary (Services)</w:t>
            </w:r>
          </w:p>
        </w:tc>
        <w:tc>
          <w:tcPr>
            <w:tcW w:w="542"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729.0</w:t>
            </w:r>
          </w:p>
        </w:tc>
        <w:tc>
          <w:tcPr>
            <w:tcW w:w="109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817.1</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852.9</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919.0</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1002.3</w:t>
            </w:r>
          </w:p>
        </w:tc>
        <w:tc>
          <w:tcPr>
            <w:tcW w:w="1053"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1096.5</w:t>
            </w:r>
          </w:p>
        </w:tc>
      </w:tr>
      <w:tr w:rsidR="00B13461" w:rsidRPr="005A49D3" w:rsidTr="004504AC">
        <w:trPr>
          <w:trHeight w:val="250"/>
          <w:jc w:val="center"/>
        </w:trPr>
        <w:tc>
          <w:tcPr>
            <w:tcW w:w="2094"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542"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109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1053"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r>
      <w:tr w:rsidR="00B13461" w:rsidRPr="005A49D3" w:rsidTr="004504AC">
        <w:trPr>
          <w:trHeight w:val="250"/>
          <w:jc w:val="center"/>
        </w:trPr>
        <w:tc>
          <w:tcPr>
            <w:tcW w:w="2094"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 xml:space="preserve">GDP Deflator </w:t>
            </w:r>
          </w:p>
        </w:tc>
        <w:tc>
          <w:tcPr>
            <w:tcW w:w="542"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0.9%</w:t>
            </w:r>
          </w:p>
        </w:tc>
        <w:tc>
          <w:tcPr>
            <w:tcW w:w="109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4.9%</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2.2%</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4.2%</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5.4%</w:t>
            </w:r>
          </w:p>
        </w:tc>
        <w:tc>
          <w:tcPr>
            <w:tcW w:w="1053"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5.4%</w:t>
            </w:r>
          </w:p>
        </w:tc>
      </w:tr>
      <w:tr w:rsidR="00B13461" w:rsidRPr="005A49D3" w:rsidTr="004504AC">
        <w:trPr>
          <w:trHeight w:val="250"/>
          <w:jc w:val="center"/>
        </w:trPr>
        <w:tc>
          <w:tcPr>
            <w:tcW w:w="2094"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CPI Inflation Average</w:t>
            </w:r>
          </w:p>
        </w:tc>
        <w:tc>
          <w:tcPr>
            <w:tcW w:w="542"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5.1%</w:t>
            </w:r>
          </w:p>
        </w:tc>
        <w:tc>
          <w:tcPr>
            <w:tcW w:w="109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4.6%</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6.3%</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3.9%</w:t>
            </w:r>
          </w:p>
        </w:tc>
        <w:tc>
          <w:tcPr>
            <w:tcW w:w="960"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3.9%</w:t>
            </w:r>
          </w:p>
        </w:tc>
        <w:tc>
          <w:tcPr>
            <w:tcW w:w="1053" w:type="dxa"/>
            <w:tcBorders>
              <w:top w:val="nil"/>
              <w:left w:val="nil"/>
              <w:bottom w:val="nil"/>
              <w:right w:val="nil"/>
            </w:tcBorders>
            <w:shd w:val="clear" w:color="000000" w:fill="FFFFFF"/>
            <w:noWrap/>
            <w:vAlign w:val="center"/>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4.2%</w:t>
            </w:r>
          </w:p>
        </w:tc>
      </w:tr>
      <w:tr w:rsidR="00B13461" w:rsidRPr="005A49D3" w:rsidTr="004504AC">
        <w:trPr>
          <w:trHeight w:val="250"/>
          <w:jc w:val="center"/>
        </w:trPr>
        <w:tc>
          <w:tcPr>
            <w:tcW w:w="2094"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 </w:t>
            </w:r>
          </w:p>
        </w:tc>
        <w:tc>
          <w:tcPr>
            <w:tcW w:w="542" w:type="dxa"/>
            <w:tcBorders>
              <w:top w:val="nil"/>
              <w:left w:val="nil"/>
              <w:bottom w:val="nil"/>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109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960"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c>
          <w:tcPr>
            <w:tcW w:w="1053" w:type="dxa"/>
            <w:tcBorders>
              <w:top w:val="nil"/>
              <w:left w:val="nil"/>
              <w:bottom w:val="nil"/>
              <w:right w:val="nil"/>
            </w:tcBorders>
            <w:shd w:val="clear" w:color="000000" w:fill="FFFFFF"/>
            <w:noWrap/>
            <w:vAlign w:val="bottom"/>
            <w:hideMark/>
          </w:tcPr>
          <w:p w:rsidR="00B13461" w:rsidRPr="005A49D3" w:rsidRDefault="00B13461" w:rsidP="00EA09AE">
            <w:pPr>
              <w:jc w:val="center"/>
              <w:rPr>
                <w:rFonts w:ascii="Times New Roman" w:eastAsia="Times New Roman" w:hAnsi="Times New Roman" w:cs="Times New Roman"/>
                <w:szCs w:val="22"/>
              </w:rPr>
            </w:pPr>
          </w:p>
        </w:tc>
      </w:tr>
      <w:tr w:rsidR="00B13461" w:rsidRPr="005A49D3" w:rsidTr="004504AC">
        <w:trPr>
          <w:trHeight w:val="250"/>
          <w:jc w:val="center"/>
        </w:trPr>
        <w:tc>
          <w:tcPr>
            <w:tcW w:w="2094" w:type="dxa"/>
            <w:tcBorders>
              <w:top w:val="nil"/>
              <w:left w:val="nil"/>
              <w:bottom w:val="single" w:sz="4" w:space="0" w:color="auto"/>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b/>
                <w:bCs/>
                <w:szCs w:val="22"/>
              </w:rPr>
            </w:pPr>
            <w:r w:rsidRPr="005A49D3">
              <w:rPr>
                <w:rFonts w:ascii="Times New Roman" w:eastAsia="Times New Roman" w:hAnsi="Times New Roman" w:cs="Times New Roman"/>
                <w:b/>
                <w:bCs/>
                <w:szCs w:val="22"/>
              </w:rPr>
              <w:t>Exchange rate</w:t>
            </w:r>
          </w:p>
        </w:tc>
        <w:tc>
          <w:tcPr>
            <w:tcW w:w="542" w:type="dxa"/>
            <w:tcBorders>
              <w:top w:val="nil"/>
              <w:left w:val="nil"/>
              <w:bottom w:val="single" w:sz="4" w:space="0" w:color="auto"/>
              <w:right w:val="nil"/>
            </w:tcBorders>
            <w:shd w:val="clear" w:color="000000" w:fill="FFFFFF"/>
            <w:noWrap/>
            <w:vAlign w:val="bottom"/>
            <w:hideMark/>
          </w:tcPr>
          <w:p w:rsidR="00B13461" w:rsidRPr="005A49D3" w:rsidRDefault="00B13461" w:rsidP="00EA09AE">
            <w:pPr>
              <w:rPr>
                <w:rFonts w:ascii="Times New Roman" w:eastAsia="Times New Roman" w:hAnsi="Times New Roman" w:cs="Times New Roman"/>
                <w:szCs w:val="22"/>
              </w:rPr>
            </w:pPr>
            <w:r w:rsidRPr="005A49D3">
              <w:rPr>
                <w:rFonts w:ascii="Times New Roman" w:eastAsia="Times New Roman" w:hAnsi="Times New Roman" w:cs="Times New Roman"/>
                <w:szCs w:val="22"/>
              </w:rPr>
              <w:t> </w:t>
            </w:r>
          </w:p>
        </w:tc>
        <w:tc>
          <w:tcPr>
            <w:tcW w:w="974" w:type="dxa"/>
            <w:tcBorders>
              <w:top w:val="nil"/>
              <w:left w:val="nil"/>
              <w:bottom w:val="single" w:sz="4" w:space="0" w:color="auto"/>
              <w:right w:val="nil"/>
            </w:tcBorders>
            <w:shd w:val="clear" w:color="000000" w:fill="FFFFFF"/>
            <w:noWrap/>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68.4</w:t>
            </w:r>
          </w:p>
        </w:tc>
        <w:tc>
          <w:tcPr>
            <w:tcW w:w="1090" w:type="dxa"/>
            <w:tcBorders>
              <w:top w:val="nil"/>
              <w:left w:val="nil"/>
              <w:bottom w:val="single" w:sz="4" w:space="0" w:color="auto"/>
              <w:right w:val="nil"/>
            </w:tcBorders>
            <w:shd w:val="clear" w:color="000000" w:fill="FFFFFF"/>
            <w:noWrap/>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75.9</w:t>
            </w:r>
          </w:p>
        </w:tc>
        <w:tc>
          <w:tcPr>
            <w:tcW w:w="960" w:type="dxa"/>
            <w:tcBorders>
              <w:top w:val="nil"/>
              <w:left w:val="nil"/>
              <w:bottom w:val="single" w:sz="4" w:space="0" w:color="auto"/>
              <w:right w:val="nil"/>
            </w:tcBorders>
            <w:shd w:val="clear" w:color="000000" w:fill="FFFFFF"/>
            <w:noWrap/>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76</w:t>
            </w:r>
          </w:p>
        </w:tc>
        <w:tc>
          <w:tcPr>
            <w:tcW w:w="960" w:type="dxa"/>
            <w:tcBorders>
              <w:top w:val="nil"/>
              <w:left w:val="nil"/>
              <w:bottom w:val="single" w:sz="4" w:space="0" w:color="auto"/>
              <w:right w:val="nil"/>
            </w:tcBorders>
            <w:shd w:val="clear" w:color="000000" w:fill="FFFFFF"/>
            <w:noWrap/>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77</w:t>
            </w:r>
          </w:p>
        </w:tc>
        <w:tc>
          <w:tcPr>
            <w:tcW w:w="960" w:type="dxa"/>
            <w:tcBorders>
              <w:top w:val="nil"/>
              <w:left w:val="nil"/>
              <w:bottom w:val="single" w:sz="4" w:space="0" w:color="auto"/>
              <w:right w:val="nil"/>
            </w:tcBorders>
            <w:shd w:val="clear" w:color="000000" w:fill="FFFFFF"/>
            <w:noWrap/>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78</w:t>
            </w:r>
          </w:p>
        </w:tc>
        <w:tc>
          <w:tcPr>
            <w:tcW w:w="1053" w:type="dxa"/>
            <w:tcBorders>
              <w:top w:val="nil"/>
              <w:left w:val="nil"/>
              <w:bottom w:val="single" w:sz="4" w:space="0" w:color="auto"/>
              <w:right w:val="nil"/>
            </w:tcBorders>
            <w:shd w:val="clear" w:color="000000" w:fill="FFFFFF"/>
            <w:noWrap/>
            <w:hideMark/>
          </w:tcPr>
          <w:p w:rsidR="00B13461" w:rsidRPr="005A49D3" w:rsidRDefault="00B13461" w:rsidP="00EA09AE">
            <w:pPr>
              <w:jc w:val="center"/>
              <w:rPr>
                <w:rFonts w:ascii="Times New Roman" w:eastAsia="Times New Roman" w:hAnsi="Times New Roman" w:cs="Times New Roman"/>
                <w:szCs w:val="22"/>
              </w:rPr>
            </w:pPr>
            <w:r w:rsidRPr="005A49D3">
              <w:rPr>
                <w:rFonts w:ascii="Times New Roman" w:eastAsia="Times New Roman" w:hAnsi="Times New Roman" w:cs="Times New Roman"/>
                <w:szCs w:val="22"/>
              </w:rPr>
              <w:t>79</w:t>
            </w:r>
          </w:p>
        </w:tc>
      </w:tr>
    </w:tbl>
    <w:p w:rsidR="00B13461" w:rsidRPr="005A5549" w:rsidRDefault="00B13461" w:rsidP="005A5549">
      <w:pPr>
        <w:pBdr>
          <w:bottom w:val="single" w:sz="4" w:space="1" w:color="auto"/>
        </w:pBdr>
        <w:rPr>
          <w:spacing w:val="-4"/>
          <w:sz w:val="20"/>
        </w:rPr>
      </w:pPr>
      <w:r w:rsidRPr="005A5549">
        <w:rPr>
          <w:spacing w:val="-4"/>
          <w:sz w:val="20"/>
        </w:rPr>
        <w:t xml:space="preserve">Note: The currency rate given above is only an estimation of changes in Afs against USD for different years. The exchange rate of Afs against USD for FY 1398 is calculated at Afs 74.4 </w:t>
      </w:r>
      <w:r w:rsidRPr="005A5549">
        <w:rPr>
          <w:i/>
          <w:iCs/>
          <w:spacing w:val="-4"/>
          <w:sz w:val="20"/>
        </w:rPr>
        <w:t>versus</w:t>
      </w:r>
      <w:r w:rsidRPr="005A5549">
        <w:rPr>
          <w:spacing w:val="-4"/>
          <w:sz w:val="20"/>
        </w:rPr>
        <w:t xml:space="preserve"> USD 1.</w:t>
      </w:r>
    </w:p>
    <w:p w:rsidR="00B13461" w:rsidRPr="000615B8" w:rsidRDefault="00B13461" w:rsidP="00184CDF">
      <w:pPr>
        <w:rPr>
          <w:rFonts w:eastAsia="Garamond"/>
          <w:szCs w:val="22"/>
        </w:rPr>
      </w:pPr>
      <w:r w:rsidRPr="000615B8">
        <w:rPr>
          <w:rFonts w:eastAsia="Garamond"/>
          <w:szCs w:val="22"/>
        </w:rPr>
        <w:t>The economic growth estimates for the medium term are based on the following assumptions:</w:t>
      </w:r>
    </w:p>
    <w:p w:rsidR="00B13461" w:rsidRPr="000615B8" w:rsidRDefault="00B13461" w:rsidP="00873EC3">
      <w:pPr>
        <w:pStyle w:val="ListParagraph"/>
        <w:numPr>
          <w:ilvl w:val="0"/>
          <w:numId w:val="18"/>
        </w:numPr>
        <w:spacing w:line="275" w:lineRule="auto"/>
        <w:ind w:right="366"/>
        <w:jc w:val="both"/>
        <w:rPr>
          <w:rFonts w:eastAsia="Garamond"/>
          <w:szCs w:val="22"/>
        </w:rPr>
      </w:pPr>
      <w:r w:rsidRPr="000615B8">
        <w:rPr>
          <w:rFonts w:eastAsia="Garamond"/>
          <w:szCs w:val="22"/>
        </w:rPr>
        <w:t xml:space="preserve">We assume that weather conditions will remain favorable and there are no adverse shocks to rain-fed farming. Farming of the agriculture sector will recover and will increase from the nominal figure of Afs 286.5 billion in 2018 to Afs 321.6 billion in 2019 (an increase of 12.3 percent), and growth in the agricultural sector is estimated to be around 12 percent on average in the medium term, with no reason to expect a downturn. </w:t>
      </w:r>
    </w:p>
    <w:p w:rsidR="00B13461" w:rsidRPr="000615B8" w:rsidRDefault="00B13461" w:rsidP="00873EC3">
      <w:pPr>
        <w:pStyle w:val="ListParagraph"/>
        <w:numPr>
          <w:ilvl w:val="0"/>
          <w:numId w:val="18"/>
        </w:numPr>
        <w:spacing w:line="275" w:lineRule="auto"/>
        <w:ind w:right="366"/>
        <w:jc w:val="both"/>
        <w:rPr>
          <w:rFonts w:eastAsia="Garamond"/>
          <w:szCs w:val="22"/>
        </w:rPr>
      </w:pPr>
      <w:r w:rsidRPr="000615B8">
        <w:rPr>
          <w:rFonts w:eastAsia="Garamond"/>
          <w:szCs w:val="22"/>
        </w:rPr>
        <w:lastRenderedPageBreak/>
        <w:t xml:space="preserve">After a slowdown in construction because of the uncertainty negatively impacting the construction investment, this year the recovery in construction is assumed to be steady, but slower as compare to the 2012- 14 where there was donor support at higher level. </w:t>
      </w:r>
    </w:p>
    <w:p w:rsidR="00B13461" w:rsidRPr="000615B8" w:rsidRDefault="00B13461" w:rsidP="000615B8">
      <w:pPr>
        <w:spacing w:line="275" w:lineRule="auto"/>
        <w:ind w:right="366"/>
        <w:jc w:val="both"/>
        <w:rPr>
          <w:rFonts w:eastAsia="Garamond"/>
          <w:szCs w:val="22"/>
        </w:rPr>
      </w:pPr>
      <w:r w:rsidRPr="000615B8">
        <w:rPr>
          <w:rFonts w:eastAsia="Garamond"/>
          <w:szCs w:val="22"/>
        </w:rPr>
        <w:t>Inflation is projected at 6.4 percent on average for FY 2019, which is higher as compared to the last year inflation rate, but we assume that the downward risks are substantial. The trend for the medium term is projected at 4.3 on average.</w:t>
      </w:r>
    </w:p>
    <w:p w:rsidR="00B13461" w:rsidRPr="005F2008" w:rsidRDefault="00B13461" w:rsidP="005F2008">
      <w:pPr>
        <w:pStyle w:val="Heading3"/>
        <w:rPr>
          <w:rFonts w:eastAsia="Garamond"/>
        </w:rPr>
      </w:pPr>
      <w:bookmarkStart w:id="10" w:name="_Toc535744256"/>
      <w:bookmarkStart w:id="11" w:name="_Toc535750185"/>
      <w:r w:rsidRPr="005F2008">
        <w:rPr>
          <w:rFonts w:eastAsia="Garamond"/>
        </w:rPr>
        <w:t>Inflation</w:t>
      </w:r>
      <w:bookmarkEnd w:id="10"/>
      <w:bookmarkEnd w:id="11"/>
    </w:p>
    <w:p w:rsidR="00B13461" w:rsidRPr="009C4884" w:rsidRDefault="00B13461" w:rsidP="000615B8">
      <w:pPr>
        <w:spacing w:line="275" w:lineRule="auto"/>
        <w:ind w:right="366"/>
        <w:jc w:val="both"/>
        <w:rPr>
          <w:rFonts w:eastAsia="Garamond"/>
          <w:spacing w:val="-2"/>
          <w:szCs w:val="22"/>
        </w:rPr>
      </w:pPr>
      <w:r w:rsidRPr="009C4884">
        <w:rPr>
          <w:rFonts w:eastAsia="Garamond"/>
          <w:spacing w:val="-2"/>
          <w:szCs w:val="22"/>
        </w:rPr>
        <w:t xml:space="preserve">Afghanistan’s economy is a consuming economy and mostly reliant on the import commodities. Any changes in the prices and volumes of imported goods will have economic impact on the economy of Afghanistan. In the medium-term inflation (average) is projected to remain stable at 4 percent. The projection is based on historical trend and is provided below. </w:t>
      </w:r>
    </w:p>
    <w:p w:rsidR="00955CDD" w:rsidRPr="005A49D3" w:rsidRDefault="00955CDD" w:rsidP="00B13461">
      <w:pPr>
        <w:rPr>
          <w:rFonts w:ascii="Times New Roman" w:hAnsi="Times New Roman" w:cs="Times New Roman"/>
          <w:b/>
          <w:bCs/>
          <w:szCs w:val="22"/>
        </w:rPr>
      </w:pPr>
    </w:p>
    <w:p w:rsidR="004504AC" w:rsidRPr="004504AC" w:rsidRDefault="004504AC" w:rsidP="004504AC">
      <w:pPr>
        <w:pStyle w:val="Caption"/>
        <w:keepNext/>
        <w:bidi w:val="0"/>
        <w:jc w:val="left"/>
        <w:rPr>
          <w:rFonts w:ascii="Garamond" w:hAnsi="Garamond"/>
          <w:sz w:val="22"/>
          <w:szCs w:val="22"/>
        </w:rPr>
      </w:pPr>
      <w:bookmarkStart w:id="12" w:name="_Toc535750366"/>
      <w:r w:rsidRPr="004504AC">
        <w:rPr>
          <w:rFonts w:ascii="Garamond" w:hAnsi="Garamond"/>
          <w:sz w:val="22"/>
          <w:szCs w:val="22"/>
        </w:rPr>
        <w:t>Figure</w:t>
      </w:r>
      <w:r w:rsidRPr="004504AC">
        <w:rPr>
          <w:rFonts w:ascii="Garamond" w:hAnsi="Garamond"/>
          <w:sz w:val="22"/>
          <w:szCs w:val="22"/>
          <w:rtl/>
        </w:rPr>
        <w:t xml:space="preserve"> </w:t>
      </w:r>
      <w:r w:rsidRPr="004504AC">
        <w:rPr>
          <w:rFonts w:ascii="Garamond" w:hAnsi="Garamond"/>
          <w:sz w:val="22"/>
          <w:szCs w:val="22"/>
          <w:rtl/>
        </w:rPr>
        <w:fldChar w:fldCharType="begin"/>
      </w:r>
      <w:r w:rsidRPr="004504AC">
        <w:rPr>
          <w:rFonts w:ascii="Garamond" w:hAnsi="Garamond"/>
          <w:sz w:val="22"/>
          <w:szCs w:val="22"/>
          <w:rtl/>
        </w:rPr>
        <w:instrText xml:space="preserve"> </w:instrText>
      </w:r>
      <w:r w:rsidRPr="004504AC">
        <w:rPr>
          <w:rFonts w:ascii="Garamond" w:hAnsi="Garamond"/>
          <w:sz w:val="22"/>
          <w:szCs w:val="22"/>
        </w:rPr>
        <w:instrText>SEQ</w:instrText>
      </w:r>
      <w:r w:rsidRPr="004504AC">
        <w:rPr>
          <w:rFonts w:ascii="Garamond" w:hAnsi="Garamond"/>
          <w:sz w:val="22"/>
          <w:szCs w:val="22"/>
          <w:rtl/>
        </w:rPr>
        <w:instrText xml:space="preserve"> </w:instrText>
      </w:r>
      <w:r w:rsidRPr="004504AC">
        <w:rPr>
          <w:rFonts w:ascii="Garamond" w:hAnsi="Garamond"/>
          <w:sz w:val="22"/>
          <w:szCs w:val="22"/>
        </w:rPr>
        <w:instrText>Figure \* ARABIC</w:instrText>
      </w:r>
      <w:r w:rsidRPr="004504AC">
        <w:rPr>
          <w:rFonts w:ascii="Garamond" w:hAnsi="Garamond"/>
          <w:sz w:val="22"/>
          <w:szCs w:val="22"/>
          <w:rtl/>
        </w:rPr>
        <w:instrText xml:space="preserve"> </w:instrText>
      </w:r>
      <w:r w:rsidRPr="004504AC">
        <w:rPr>
          <w:rFonts w:ascii="Garamond" w:hAnsi="Garamond"/>
          <w:sz w:val="22"/>
          <w:szCs w:val="22"/>
          <w:rtl/>
        </w:rPr>
        <w:fldChar w:fldCharType="separate"/>
      </w:r>
      <w:r w:rsidR="00862183">
        <w:rPr>
          <w:rFonts w:ascii="Garamond" w:hAnsi="Garamond"/>
          <w:noProof/>
          <w:sz w:val="22"/>
          <w:szCs w:val="22"/>
          <w:rtl/>
        </w:rPr>
        <w:t>1</w:t>
      </w:r>
      <w:r w:rsidRPr="004504AC">
        <w:rPr>
          <w:rFonts w:ascii="Garamond" w:hAnsi="Garamond"/>
          <w:sz w:val="22"/>
          <w:szCs w:val="22"/>
          <w:rtl/>
        </w:rPr>
        <w:fldChar w:fldCharType="end"/>
      </w:r>
      <w:r>
        <w:rPr>
          <w:rFonts w:ascii="Garamond" w:hAnsi="Garamond"/>
          <w:sz w:val="22"/>
          <w:szCs w:val="22"/>
        </w:rPr>
        <w:t>:</w:t>
      </w:r>
      <w:r w:rsidRPr="004504AC">
        <w:rPr>
          <w:rFonts w:ascii="Garamond" w:hAnsi="Garamond"/>
          <w:sz w:val="22"/>
          <w:szCs w:val="22"/>
        </w:rPr>
        <w:t xml:space="preserve"> Inflation</w:t>
      </w:r>
      <w:bookmarkEnd w:id="12"/>
    </w:p>
    <w:p w:rsidR="00B13461" w:rsidRPr="005A49D3" w:rsidRDefault="00B13461" w:rsidP="00E605D8">
      <w:pPr>
        <w:jc w:val="center"/>
        <w:rPr>
          <w:rFonts w:ascii="Times New Roman" w:hAnsi="Times New Roman" w:cs="Times New Roman"/>
          <w:szCs w:val="22"/>
          <w:highlight w:val="yellow"/>
        </w:rPr>
      </w:pPr>
      <w:r w:rsidRPr="005A49D3">
        <w:rPr>
          <w:rFonts w:ascii="Times New Roman" w:hAnsi="Times New Roman" w:cs="Times New Roman"/>
          <w:noProof/>
          <w:szCs w:val="22"/>
          <w:highlight w:val="yellow"/>
        </w:rPr>
        <w:drawing>
          <wp:inline distT="0" distB="0" distL="0" distR="0" wp14:anchorId="0CFD1E8E" wp14:editId="6589E016">
            <wp:extent cx="5305425" cy="2876550"/>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13461" w:rsidRPr="005A49D3" w:rsidRDefault="00B13461" w:rsidP="00B13461">
      <w:pPr>
        <w:jc w:val="both"/>
        <w:rPr>
          <w:rFonts w:ascii="Times New Roman" w:hAnsi="Times New Roman" w:cs="Times New Roman"/>
          <w:szCs w:val="22"/>
          <w:highlight w:val="yellow"/>
        </w:rPr>
      </w:pPr>
    </w:p>
    <w:p w:rsidR="00B13461" w:rsidRPr="009C4884" w:rsidRDefault="00B13461" w:rsidP="000615B8">
      <w:pPr>
        <w:spacing w:line="275" w:lineRule="auto"/>
        <w:ind w:right="366"/>
        <w:jc w:val="both"/>
        <w:rPr>
          <w:rFonts w:eastAsia="Garamond"/>
          <w:spacing w:val="-2"/>
          <w:szCs w:val="22"/>
        </w:rPr>
      </w:pPr>
      <w:r w:rsidRPr="009C4884">
        <w:rPr>
          <w:rFonts w:eastAsia="Garamond"/>
          <w:spacing w:val="-2"/>
          <w:szCs w:val="22"/>
        </w:rPr>
        <w:t>The situation will be different if donor grants will decrease over the medium term – a reduction in donor grants will depreciate Afghani against USD and subsequently will increase the domestic prices and thus inflation. An increase in domestic prices will have the most negative impact on the poorer sectors of the society because their purchasing power will be most affected. Increased prices will also have negative impact on the national budget by reducing the real value of money to purchase the same quantity of goods and services. Thus, fiscal policy and monetary policy of the Central Bank of Afghanistan will need to make every effort to maintain the stability of domestic prices to keep it in line with the projected numbers.</w:t>
      </w:r>
    </w:p>
    <w:p w:rsidR="00B13461" w:rsidRPr="000615B8" w:rsidRDefault="00B13461" w:rsidP="000615B8">
      <w:pPr>
        <w:spacing w:line="275" w:lineRule="auto"/>
        <w:ind w:right="366"/>
        <w:jc w:val="both"/>
        <w:rPr>
          <w:rFonts w:eastAsia="Garamond"/>
          <w:szCs w:val="22"/>
        </w:rPr>
      </w:pPr>
      <w:r w:rsidRPr="000615B8">
        <w:rPr>
          <w:rFonts w:eastAsia="Garamond"/>
          <w:szCs w:val="22"/>
        </w:rPr>
        <w:t xml:space="preserve">As second important risk stems from the election in 2019, uncertainty about security and the political strategy of a new government might negatively impact domestic demand for goods and services.  Consequently, the inflation rate could be lower than the projected numbers for the medium term. </w:t>
      </w:r>
    </w:p>
    <w:p w:rsidR="00B13461" w:rsidRPr="005F2008" w:rsidRDefault="00B13461" w:rsidP="005F2008">
      <w:pPr>
        <w:pStyle w:val="Heading3"/>
      </w:pPr>
      <w:bookmarkStart w:id="13" w:name="_Toc535744257"/>
      <w:bookmarkStart w:id="14" w:name="_Toc535750186"/>
      <w:r w:rsidRPr="005F2008">
        <w:lastRenderedPageBreak/>
        <w:t>Exchange Rate (A</w:t>
      </w:r>
      <w:r w:rsidR="005F2008">
        <w:t>FS</w:t>
      </w:r>
      <w:r w:rsidRPr="005F2008">
        <w:t xml:space="preserve"> against USD)</w:t>
      </w:r>
      <w:bookmarkEnd w:id="13"/>
      <w:bookmarkEnd w:id="14"/>
    </w:p>
    <w:p w:rsidR="00B13461" w:rsidRPr="000615B8" w:rsidRDefault="00B13461" w:rsidP="000615B8">
      <w:pPr>
        <w:spacing w:line="275" w:lineRule="auto"/>
        <w:ind w:right="366"/>
        <w:jc w:val="both"/>
        <w:rPr>
          <w:rFonts w:eastAsia="Garamond"/>
          <w:szCs w:val="22"/>
        </w:rPr>
      </w:pPr>
      <w:r w:rsidRPr="000615B8">
        <w:rPr>
          <w:rFonts w:eastAsia="Garamond"/>
          <w:szCs w:val="22"/>
        </w:rPr>
        <w:t xml:space="preserve">Afghani against the US dollar is expected to depreciate from 68.9 AFN/USD in 2018 to 75.9 AFN/USD in 2019.  The main reason is a reduction of the interest rate on the capital note to private banks which reduced the monetary policy of liquidly management of the central bank.  There is also smuggling of the USD to the Iranian market based on the Da Afghanistan Bank arguments, after the international trade sanctions imposed by the US, Iranian traders has also offered our local traders with favorable exchange conditions in case they purchase the Iranian products or do advance payment for products that is going to purchase in future .  And at the same time donor activities have fallen in general both for the on and off budget, which reduced the amount of USD in the Market.  </w:t>
      </w:r>
    </w:p>
    <w:p w:rsidR="004504AC" w:rsidRPr="004504AC" w:rsidRDefault="00264556" w:rsidP="004504AC">
      <w:pPr>
        <w:pStyle w:val="Caption"/>
        <w:bidi w:val="0"/>
        <w:jc w:val="left"/>
        <w:rPr>
          <w:rFonts w:ascii="Garamond" w:hAnsi="Garamond"/>
          <w:sz w:val="22"/>
          <w:szCs w:val="22"/>
        </w:rPr>
      </w:pPr>
      <w:bookmarkStart w:id="15" w:name="_Toc535750367"/>
      <w:r w:rsidRPr="005A49D3">
        <w:rPr>
          <w:noProof/>
          <w:szCs w:val="22"/>
          <w:lang w:bidi="ar-SA"/>
        </w:rPr>
        <w:drawing>
          <wp:anchor distT="6096" distB="3175" distL="120396" distR="121539" simplePos="0" relativeHeight="251650048" behindDoc="0" locked="0" layoutInCell="1" allowOverlap="1" wp14:anchorId="7566962A" wp14:editId="7B9BB1DB">
            <wp:simplePos x="0" y="0"/>
            <wp:positionH relativeFrom="column">
              <wp:posOffset>0</wp:posOffset>
            </wp:positionH>
            <wp:positionV relativeFrom="paragraph">
              <wp:posOffset>321310</wp:posOffset>
            </wp:positionV>
            <wp:extent cx="5137785" cy="2314575"/>
            <wp:effectExtent l="0" t="0" r="5715" b="9525"/>
            <wp:wrapSquare wrapText="bothSides"/>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4504AC" w:rsidRPr="004504AC">
        <w:rPr>
          <w:rFonts w:ascii="Garamond" w:hAnsi="Garamond"/>
          <w:sz w:val="22"/>
          <w:szCs w:val="22"/>
        </w:rPr>
        <w:t>Figure</w:t>
      </w:r>
      <w:r w:rsidR="004504AC" w:rsidRPr="004504AC">
        <w:rPr>
          <w:rFonts w:ascii="Garamond" w:hAnsi="Garamond"/>
          <w:sz w:val="22"/>
          <w:szCs w:val="22"/>
          <w:rtl/>
        </w:rPr>
        <w:t xml:space="preserve"> </w:t>
      </w:r>
      <w:r w:rsidR="004504AC" w:rsidRPr="004504AC">
        <w:rPr>
          <w:rFonts w:ascii="Garamond" w:hAnsi="Garamond"/>
          <w:sz w:val="22"/>
          <w:szCs w:val="22"/>
          <w:rtl/>
        </w:rPr>
        <w:fldChar w:fldCharType="begin"/>
      </w:r>
      <w:r w:rsidR="004504AC" w:rsidRPr="004504AC">
        <w:rPr>
          <w:rFonts w:ascii="Garamond" w:hAnsi="Garamond"/>
          <w:sz w:val="22"/>
          <w:szCs w:val="22"/>
          <w:rtl/>
        </w:rPr>
        <w:instrText xml:space="preserve"> </w:instrText>
      </w:r>
      <w:r w:rsidR="004504AC" w:rsidRPr="004504AC">
        <w:rPr>
          <w:rFonts w:ascii="Garamond" w:hAnsi="Garamond"/>
          <w:sz w:val="22"/>
          <w:szCs w:val="22"/>
        </w:rPr>
        <w:instrText>SEQ</w:instrText>
      </w:r>
      <w:r w:rsidR="004504AC" w:rsidRPr="004504AC">
        <w:rPr>
          <w:rFonts w:ascii="Garamond" w:hAnsi="Garamond"/>
          <w:sz w:val="22"/>
          <w:szCs w:val="22"/>
          <w:rtl/>
        </w:rPr>
        <w:instrText xml:space="preserve"> </w:instrText>
      </w:r>
      <w:r w:rsidR="004504AC" w:rsidRPr="004504AC">
        <w:rPr>
          <w:rFonts w:ascii="Garamond" w:hAnsi="Garamond"/>
          <w:sz w:val="22"/>
          <w:szCs w:val="22"/>
        </w:rPr>
        <w:instrText>Figure \* ARABIC</w:instrText>
      </w:r>
      <w:r w:rsidR="004504AC" w:rsidRPr="004504AC">
        <w:rPr>
          <w:rFonts w:ascii="Garamond" w:hAnsi="Garamond"/>
          <w:sz w:val="22"/>
          <w:szCs w:val="22"/>
          <w:rtl/>
        </w:rPr>
        <w:instrText xml:space="preserve"> </w:instrText>
      </w:r>
      <w:r w:rsidR="004504AC" w:rsidRPr="004504AC">
        <w:rPr>
          <w:rFonts w:ascii="Garamond" w:hAnsi="Garamond"/>
          <w:sz w:val="22"/>
          <w:szCs w:val="22"/>
          <w:rtl/>
        </w:rPr>
        <w:fldChar w:fldCharType="separate"/>
      </w:r>
      <w:r w:rsidR="00862183">
        <w:rPr>
          <w:rFonts w:ascii="Garamond" w:hAnsi="Garamond"/>
          <w:noProof/>
          <w:sz w:val="22"/>
          <w:szCs w:val="22"/>
          <w:rtl/>
        </w:rPr>
        <w:t>2</w:t>
      </w:r>
      <w:r w:rsidR="004504AC" w:rsidRPr="004504AC">
        <w:rPr>
          <w:rFonts w:ascii="Garamond" w:hAnsi="Garamond"/>
          <w:sz w:val="22"/>
          <w:szCs w:val="22"/>
          <w:rtl/>
        </w:rPr>
        <w:fldChar w:fldCharType="end"/>
      </w:r>
      <w:r w:rsidR="004504AC" w:rsidRPr="004504AC">
        <w:rPr>
          <w:rFonts w:ascii="Garamond" w:hAnsi="Garamond"/>
          <w:sz w:val="22"/>
          <w:szCs w:val="22"/>
        </w:rPr>
        <w:t>Exchange Rate</w:t>
      </w:r>
      <w:bookmarkEnd w:id="15"/>
    </w:p>
    <w:p w:rsidR="0077163B" w:rsidRPr="005A49D3" w:rsidRDefault="00E93C90" w:rsidP="00264556">
      <w:pPr>
        <w:pStyle w:val="Caption"/>
        <w:keepNext/>
        <w:jc w:val="right"/>
        <w:rPr>
          <w:rFonts w:ascii="Times New Roman" w:eastAsia="Garamond" w:hAnsi="Times New Roman" w:cs="Times New Roman"/>
          <w:szCs w:val="22"/>
        </w:rPr>
      </w:pPr>
      <w:r w:rsidRPr="00E93C90">
        <w:rPr>
          <w:rFonts w:ascii="Garamond" w:hAnsi="Garamond"/>
          <w:sz w:val="22"/>
          <w:szCs w:val="22"/>
          <w:rtl/>
        </w:rPr>
        <w:t xml:space="preserve"> </w:t>
      </w:r>
    </w:p>
    <w:p w:rsidR="00B13461" w:rsidRPr="005A5549" w:rsidRDefault="00B13461" w:rsidP="00E93C90">
      <w:pPr>
        <w:pBdr>
          <w:top w:val="single" w:sz="4" w:space="1" w:color="auto"/>
          <w:bottom w:val="single" w:sz="4" w:space="1" w:color="auto"/>
        </w:pBdr>
        <w:ind w:right="206"/>
        <w:jc w:val="both"/>
        <w:rPr>
          <w:rFonts w:eastAsia="Garamond" w:cs="Times New Roman"/>
          <w:sz w:val="20"/>
        </w:rPr>
      </w:pPr>
      <w:r w:rsidRPr="005A5549">
        <w:rPr>
          <w:rFonts w:eastAsia="Garamond" w:cs="Times New Roman"/>
          <w:sz w:val="20"/>
        </w:rPr>
        <w:t xml:space="preserve">Note: The currency rate given above is only an estimation of changes in Afs against USD for different years. The exchange rate of Afs against USD for FY 1398 is calculated at Afs 74.4 </w:t>
      </w:r>
      <w:r w:rsidRPr="005A5549">
        <w:rPr>
          <w:rFonts w:eastAsia="Garamond" w:cs="Times New Roman"/>
          <w:i/>
          <w:iCs/>
          <w:sz w:val="20"/>
        </w:rPr>
        <w:t>versus</w:t>
      </w:r>
      <w:r w:rsidRPr="005A5549">
        <w:rPr>
          <w:rFonts w:eastAsia="Garamond" w:cs="Times New Roman"/>
          <w:sz w:val="20"/>
        </w:rPr>
        <w:t xml:space="preserve"> USD 1.</w:t>
      </w:r>
    </w:p>
    <w:p w:rsidR="00B13461" w:rsidRPr="000615B8" w:rsidRDefault="00B13461" w:rsidP="000615B8">
      <w:pPr>
        <w:spacing w:line="275" w:lineRule="auto"/>
        <w:ind w:right="366"/>
        <w:jc w:val="both"/>
        <w:rPr>
          <w:rFonts w:eastAsia="Garamond"/>
          <w:szCs w:val="22"/>
        </w:rPr>
      </w:pPr>
      <w:r w:rsidRPr="000615B8">
        <w:rPr>
          <w:rFonts w:eastAsia="Garamond"/>
          <w:szCs w:val="22"/>
        </w:rPr>
        <w:t xml:space="preserve">The impact on the budget of a different exchange rate would largely be felt through the grants; almost 50% of overall government budget is still financed by donors and is mostly committed in US dollars. At the time of budgeting, all these amounts are included as equivalent Afghanis in the budget. However, once the year starts, the in-year fluctuations in the dollar price causes varying effects depending on the upward or downward pressure on the Afghani. </w:t>
      </w:r>
    </w:p>
    <w:p w:rsidR="00B13461" w:rsidRPr="009C4884" w:rsidRDefault="00B13461" w:rsidP="000615B8">
      <w:pPr>
        <w:spacing w:line="275" w:lineRule="auto"/>
        <w:ind w:right="366"/>
        <w:jc w:val="both"/>
        <w:rPr>
          <w:rFonts w:eastAsia="Garamond"/>
          <w:spacing w:val="-4"/>
          <w:szCs w:val="22"/>
        </w:rPr>
      </w:pPr>
      <w:r w:rsidRPr="009C4884">
        <w:rPr>
          <w:rFonts w:eastAsia="Garamond"/>
          <w:spacing w:val="-4"/>
          <w:szCs w:val="22"/>
        </w:rPr>
        <w:t>The three most crucial short term concerns regarding exchange rate deprecation are likely to be:</w:t>
      </w:r>
    </w:p>
    <w:p w:rsidR="00B13461" w:rsidRPr="009C4884" w:rsidRDefault="00B13461" w:rsidP="00873EC3">
      <w:pPr>
        <w:pStyle w:val="ListParagraph"/>
        <w:numPr>
          <w:ilvl w:val="0"/>
          <w:numId w:val="20"/>
        </w:numPr>
        <w:spacing w:line="275" w:lineRule="auto"/>
        <w:ind w:right="366"/>
        <w:jc w:val="both"/>
        <w:rPr>
          <w:rFonts w:eastAsia="Garamond"/>
          <w:szCs w:val="22"/>
        </w:rPr>
      </w:pPr>
      <w:r w:rsidRPr="009C4884">
        <w:rPr>
          <w:rFonts w:eastAsia="Garamond"/>
          <w:szCs w:val="22"/>
        </w:rPr>
        <w:t>Debt repayments of government debt denominated in foreign currency might increase, because, we would need to exchange more Afghanis to cover our debt payments.</w:t>
      </w:r>
    </w:p>
    <w:p w:rsidR="00B13461" w:rsidRPr="009C4884" w:rsidRDefault="00B13461" w:rsidP="00873EC3">
      <w:pPr>
        <w:pStyle w:val="ListParagraph"/>
        <w:numPr>
          <w:ilvl w:val="0"/>
          <w:numId w:val="20"/>
        </w:numPr>
        <w:spacing w:line="275" w:lineRule="auto"/>
        <w:ind w:right="366"/>
        <w:jc w:val="both"/>
        <w:rPr>
          <w:rFonts w:eastAsia="Garamond"/>
          <w:szCs w:val="22"/>
        </w:rPr>
      </w:pPr>
      <w:r w:rsidRPr="009C4884">
        <w:rPr>
          <w:rFonts w:eastAsia="Garamond"/>
          <w:szCs w:val="22"/>
        </w:rPr>
        <w:t>The revenue, in Afghani terms, from imports will likely see an increase, as items with foreign valuations will pay tax in Afghanis at a higher amount.</w:t>
      </w:r>
    </w:p>
    <w:p w:rsidR="00B13461" w:rsidRPr="009C4884" w:rsidRDefault="00B13461" w:rsidP="00873EC3">
      <w:pPr>
        <w:pStyle w:val="ListParagraph"/>
        <w:numPr>
          <w:ilvl w:val="0"/>
          <w:numId w:val="20"/>
        </w:numPr>
        <w:spacing w:line="275" w:lineRule="auto"/>
        <w:ind w:right="366"/>
        <w:jc w:val="both"/>
        <w:rPr>
          <w:rFonts w:eastAsia="Garamond"/>
          <w:szCs w:val="22"/>
        </w:rPr>
      </w:pPr>
      <w:r w:rsidRPr="009C4884">
        <w:rPr>
          <w:rFonts w:eastAsia="Garamond"/>
          <w:szCs w:val="22"/>
        </w:rPr>
        <w:t>Any counterpart payments or contracts denominated in USD, or other forex, will also create a negative expenditure pressure for the Government with falls in the currency.</w:t>
      </w:r>
    </w:p>
    <w:p w:rsidR="00B13461" w:rsidRPr="009C4884" w:rsidRDefault="00B13461" w:rsidP="00873EC3">
      <w:pPr>
        <w:pStyle w:val="ListParagraph"/>
        <w:numPr>
          <w:ilvl w:val="0"/>
          <w:numId w:val="20"/>
        </w:numPr>
        <w:spacing w:line="275" w:lineRule="auto"/>
        <w:ind w:right="366"/>
        <w:jc w:val="both"/>
        <w:rPr>
          <w:rFonts w:eastAsia="Garamond"/>
          <w:szCs w:val="22"/>
        </w:rPr>
      </w:pPr>
      <w:r w:rsidRPr="009C4884">
        <w:rPr>
          <w:rFonts w:eastAsia="Garamond"/>
          <w:szCs w:val="22"/>
        </w:rPr>
        <w:t>In the medium term exchange rate depreciation are likely to have the following impact:</w:t>
      </w:r>
    </w:p>
    <w:p w:rsidR="00B13461" w:rsidRPr="009C4884" w:rsidRDefault="00B13461" w:rsidP="00873EC3">
      <w:pPr>
        <w:pStyle w:val="ListParagraph"/>
        <w:numPr>
          <w:ilvl w:val="0"/>
          <w:numId w:val="20"/>
        </w:numPr>
        <w:spacing w:line="275" w:lineRule="auto"/>
        <w:ind w:right="366"/>
        <w:jc w:val="both"/>
        <w:rPr>
          <w:rFonts w:eastAsia="Garamond"/>
          <w:szCs w:val="22"/>
        </w:rPr>
      </w:pPr>
      <w:r w:rsidRPr="009C4884">
        <w:rPr>
          <w:rFonts w:eastAsia="Garamond"/>
          <w:szCs w:val="22"/>
        </w:rPr>
        <w:lastRenderedPageBreak/>
        <w:t>It might create inflation pressures that might even force the government to re-evaluate project budgets.</w:t>
      </w:r>
    </w:p>
    <w:p w:rsidR="00B13461" w:rsidRPr="000615B8" w:rsidRDefault="00B13461" w:rsidP="000615B8">
      <w:pPr>
        <w:spacing w:line="275" w:lineRule="auto"/>
        <w:ind w:right="366"/>
        <w:jc w:val="both"/>
        <w:rPr>
          <w:rFonts w:eastAsia="Garamond"/>
          <w:szCs w:val="22"/>
        </w:rPr>
      </w:pPr>
      <w:r w:rsidRPr="000615B8">
        <w:rPr>
          <w:rFonts w:eastAsia="Garamond"/>
          <w:szCs w:val="22"/>
        </w:rPr>
        <w:t xml:space="preserve">Similarly, overall costs for Government are likely to increase due to the inflationary channel.  A fall in the value of the Afghani creates an upward pressure on prices of imported goods which will feed through to general inflation in the medium term.  This means next year’s budget is likely to face higher overall prices; and the medium term expenditure plan will have to be revised upwards. This inflationary effect may or may not also feed through on the revenue side, given many taxes are levied on salaries and other areas which are more likely to be slower to adjust. In the medium term revenues from imports are likely to fall back again, as the fall in the value of the currency will lead to an increase in the effective price of imports, reducing their usage. </w:t>
      </w:r>
    </w:p>
    <w:p w:rsidR="00B13461" w:rsidRPr="00CA5DDE" w:rsidRDefault="00B13461" w:rsidP="000615B8">
      <w:pPr>
        <w:spacing w:line="275" w:lineRule="auto"/>
        <w:ind w:right="366"/>
        <w:jc w:val="both"/>
        <w:rPr>
          <w:lang w:val="en-GB"/>
        </w:rPr>
      </w:pPr>
      <w:r w:rsidRPr="000615B8">
        <w:rPr>
          <w:rFonts w:eastAsia="Garamond"/>
          <w:szCs w:val="22"/>
        </w:rPr>
        <w:t>LOTFA and CSTC-A are likely safe in the medium term, since the foreign</w:t>
      </w:r>
      <w:r w:rsidRPr="005A49D3">
        <w:t xml:space="preserve"> allocations are in foreign currency and will have effectively adjusted upwards. </w:t>
      </w:r>
    </w:p>
    <w:p w:rsidR="00B13461" w:rsidRPr="005F2008" w:rsidRDefault="00B13461" w:rsidP="005F2008">
      <w:pPr>
        <w:pStyle w:val="Heading3"/>
      </w:pPr>
      <w:bookmarkStart w:id="16" w:name="_Toc535744258"/>
      <w:bookmarkStart w:id="17" w:name="_Toc535750187"/>
      <w:r w:rsidRPr="005F2008">
        <w:t>Outlook for the Domestic Economy</w:t>
      </w:r>
      <w:bookmarkEnd w:id="16"/>
      <w:bookmarkEnd w:id="17"/>
    </w:p>
    <w:p w:rsidR="00B13461" w:rsidRPr="00CA5DDE" w:rsidRDefault="00B13461" w:rsidP="00CA5DDE">
      <w:pPr>
        <w:spacing w:line="275" w:lineRule="auto"/>
        <w:ind w:right="366"/>
        <w:jc w:val="both"/>
        <w:rPr>
          <w:rFonts w:eastAsia="Garamond"/>
          <w:szCs w:val="22"/>
        </w:rPr>
      </w:pPr>
      <w:r w:rsidRPr="00CA5DDE">
        <w:rPr>
          <w:rFonts w:eastAsia="Garamond"/>
          <w:szCs w:val="22"/>
        </w:rPr>
        <w:t xml:space="preserve">Historically the economic growth of Afghanistan is mainly driven by the infusion of donor aid. Between 2003 and 2014 Afghanistan was a big recipient of donor assistance and the average annual Economic growth rate because of the inflow of aid was 9.4 percent. Economic growth declined significantly afterwards from an average of 9.4 percent to 2.1 percent between 2014 and 2018, this was mainly due to the decline in donor assistance (mainly off-budget) and partly due to the political uncertainties of the time. </w:t>
      </w:r>
    </w:p>
    <w:p w:rsidR="00B13461" w:rsidRPr="009C4884" w:rsidRDefault="00B13461" w:rsidP="00CA5DDE">
      <w:pPr>
        <w:spacing w:line="275" w:lineRule="auto"/>
        <w:ind w:right="366"/>
        <w:jc w:val="both"/>
        <w:rPr>
          <w:rFonts w:eastAsia="Garamond"/>
          <w:spacing w:val="-2"/>
          <w:szCs w:val="22"/>
        </w:rPr>
      </w:pPr>
      <w:r w:rsidRPr="009C4884">
        <w:rPr>
          <w:rFonts w:eastAsia="Garamond"/>
          <w:spacing w:val="-2"/>
          <w:szCs w:val="22"/>
        </w:rPr>
        <w:t>In the medium term, donor aid is anticipated to reduce further and the budget will be getting tighter– thus reliance on donor aid does not seem a good option and the Government shall strive to work on other options to spur growth. In the medium term, the option is to focus on budget execution by closing non-performing projects/programs and allocating their funds to well-performing projects/programs that directly reach the population and increase demand.</w:t>
      </w:r>
    </w:p>
    <w:p w:rsidR="00B13461" w:rsidRPr="00CA5DDE" w:rsidRDefault="00B13461" w:rsidP="00CA5DDE">
      <w:pPr>
        <w:spacing w:line="275" w:lineRule="auto"/>
        <w:ind w:right="366"/>
        <w:jc w:val="both"/>
        <w:rPr>
          <w:rFonts w:eastAsia="Garamond"/>
          <w:szCs w:val="22"/>
        </w:rPr>
      </w:pPr>
      <w:r w:rsidRPr="00CA5DDE">
        <w:rPr>
          <w:rFonts w:eastAsia="Garamond"/>
          <w:szCs w:val="22"/>
        </w:rPr>
        <w:t>The growth scenario for the medium term looks more optimistic – with 3 percent real growth rate in 2019 and 4.5 percent in 2022. However, with the reallocation of resources to well performing programs the growth scenario could increase economic growth even further. According to a World Bank fiscal multiplier analysis</w:t>
      </w:r>
      <w:r w:rsidRPr="00CA5DDE">
        <w:rPr>
          <w:rFonts w:eastAsia="Garamond"/>
          <w:szCs w:val="22"/>
        </w:rPr>
        <w:footnoteReference w:id="1"/>
      </w:r>
      <w:r w:rsidRPr="00CA5DDE">
        <w:rPr>
          <w:rFonts w:eastAsia="Garamond"/>
          <w:szCs w:val="22"/>
        </w:rPr>
        <w:t>, investing in Agriculture, Human Capital, Extractives and Social Protection Sectors will have an estimated higher impact on growth relative to other sectors, given their higher multiplie</w:t>
      </w:r>
      <w:r w:rsidR="009C4884">
        <w:rPr>
          <w:rFonts w:eastAsia="Garamond"/>
          <w:szCs w:val="22"/>
        </w:rPr>
        <w:t xml:space="preserve">r. All within the assumption of </w:t>
      </w:r>
      <w:r w:rsidRPr="00CA5DDE">
        <w:rPr>
          <w:rFonts w:eastAsia="Garamond"/>
          <w:szCs w:val="22"/>
        </w:rPr>
        <w:t>increased security. A reallocation of the development</w:t>
      </w:r>
      <w:r w:rsidRPr="005A49D3">
        <w:t xml:space="preserve"> funds to sectors with the highest fiscal multipliers would </w:t>
      </w:r>
      <w:r w:rsidRPr="00CA5DDE">
        <w:rPr>
          <w:rFonts w:eastAsia="Garamond"/>
          <w:szCs w:val="22"/>
        </w:rPr>
        <w:t>therefore support greater growth.</w:t>
      </w:r>
    </w:p>
    <w:p w:rsidR="00B13461" w:rsidRPr="009C4884" w:rsidRDefault="00B13461" w:rsidP="00CA5DDE">
      <w:pPr>
        <w:spacing w:line="275" w:lineRule="auto"/>
        <w:ind w:right="366"/>
        <w:jc w:val="both"/>
        <w:rPr>
          <w:rFonts w:eastAsia="Garamond"/>
          <w:spacing w:val="-2"/>
          <w:szCs w:val="22"/>
        </w:rPr>
      </w:pPr>
      <w:r w:rsidRPr="009C4884">
        <w:rPr>
          <w:rFonts w:eastAsia="Garamond"/>
          <w:spacing w:val="-2"/>
          <w:szCs w:val="22"/>
        </w:rPr>
        <w:t>The Government expects economic growth will continue to improve over period of the forward estimates out to 2022. Improving activity in the agriculture sector, government plans in investing in infrastructure projects such as energy and regional connectivity if completed will stimulate the economy. However, it is contingent on some internal shocks that could change the growth perspective. The upcoming elections could create uncertainties for the business environment and to the government spending policies. The experience from the last election showed a decrease in the overall economic activities and brought the economic growth to a record low of 1.1 percent in 2015. Additionally, growth is also related to the security conditions of the country – a higher insecurity is related to a lower growth and vice versa.</w:t>
      </w:r>
    </w:p>
    <w:p w:rsidR="00B13461" w:rsidRPr="005F2008" w:rsidRDefault="00B13461" w:rsidP="005F2008">
      <w:pPr>
        <w:pStyle w:val="Heading3"/>
      </w:pPr>
      <w:bookmarkStart w:id="18" w:name="_Toc535744259"/>
      <w:bookmarkStart w:id="19" w:name="_Toc535750188"/>
      <w:r w:rsidRPr="005F2008">
        <w:lastRenderedPageBreak/>
        <w:t>Outlook for the International Economy</w:t>
      </w:r>
      <w:bookmarkEnd w:id="18"/>
      <w:bookmarkEnd w:id="19"/>
    </w:p>
    <w:p w:rsidR="00B13461" w:rsidRPr="00CA5DDE" w:rsidRDefault="00B13461" w:rsidP="00CA5DDE">
      <w:pPr>
        <w:spacing w:line="275" w:lineRule="auto"/>
        <w:ind w:right="366"/>
        <w:jc w:val="both"/>
        <w:rPr>
          <w:rFonts w:eastAsia="Garamond"/>
          <w:szCs w:val="22"/>
        </w:rPr>
      </w:pPr>
      <w:r w:rsidRPr="00CA5DDE">
        <w:rPr>
          <w:rFonts w:eastAsia="Garamond"/>
          <w:szCs w:val="22"/>
        </w:rPr>
        <w:t xml:space="preserve">Average economic growth for Afghanistan’s major trading partners was 4 percent in 1397 and it is projected to increase to 4.1 percent and 4.2 percent in 2017 and 2018 respectively. </w:t>
      </w:r>
      <w:r w:rsidRPr="009C4884">
        <w:rPr>
          <w:rFonts w:eastAsia="Garamond"/>
          <w:spacing w:val="-2"/>
          <w:szCs w:val="22"/>
        </w:rPr>
        <w:t>Among Afghanistan’s trading partners, for 1397, China and India, with 6.6 percent and 7.4 percent respectively, ha</w:t>
      </w:r>
      <w:r w:rsidR="00CA5DDE" w:rsidRPr="009C4884">
        <w:rPr>
          <w:rFonts w:eastAsia="Garamond"/>
          <w:spacing w:val="-2"/>
          <w:szCs w:val="22"/>
        </w:rPr>
        <w:t>d the highest levels of growth w</w:t>
      </w:r>
      <w:r w:rsidRPr="009C4884">
        <w:rPr>
          <w:rFonts w:eastAsia="Garamond"/>
          <w:spacing w:val="-2"/>
          <w:szCs w:val="22"/>
        </w:rPr>
        <w:t>hile England and Saudi Arabia, with 1.6 per</w:t>
      </w:r>
      <w:r w:rsidR="00CA5DDE" w:rsidRPr="009C4884">
        <w:rPr>
          <w:rFonts w:eastAsia="Garamond"/>
          <w:spacing w:val="-2"/>
          <w:szCs w:val="22"/>
        </w:rPr>
        <w:t xml:space="preserve"> </w:t>
      </w:r>
      <w:r w:rsidRPr="009C4884">
        <w:rPr>
          <w:rFonts w:eastAsia="Garamond"/>
          <w:spacing w:val="-2"/>
          <w:szCs w:val="22"/>
        </w:rPr>
        <w:t>cent and 1.7 per</w:t>
      </w:r>
      <w:r w:rsidR="00CA5DDE" w:rsidRPr="009C4884">
        <w:rPr>
          <w:rFonts w:eastAsia="Garamond"/>
          <w:spacing w:val="-2"/>
          <w:szCs w:val="22"/>
        </w:rPr>
        <w:t xml:space="preserve"> </w:t>
      </w:r>
      <w:r w:rsidRPr="009C4884">
        <w:rPr>
          <w:rFonts w:eastAsia="Garamond"/>
          <w:spacing w:val="-2"/>
          <w:szCs w:val="22"/>
        </w:rPr>
        <w:t>cent respectively had the lowest rates of growth in 1397. China’s growth rate is projected to fall to 6.1 percent in 1398 while India will also grow at the same rate.</w:t>
      </w:r>
    </w:p>
    <w:p w:rsidR="00B13461" w:rsidRPr="005A49D3" w:rsidRDefault="00B13461" w:rsidP="005F2008">
      <w:pPr>
        <w:pStyle w:val="Heading3"/>
        <w:rPr>
          <w:lang w:val="en-GB"/>
        </w:rPr>
      </w:pPr>
      <w:bookmarkStart w:id="20" w:name="_Toc535744260"/>
      <w:bookmarkStart w:id="21" w:name="_Toc535750189"/>
      <w:r w:rsidRPr="005A49D3">
        <w:rPr>
          <w:lang w:val="en-GB"/>
        </w:rPr>
        <w:t>Economic Outlook for the Region</w:t>
      </w:r>
      <w:bookmarkEnd w:id="20"/>
      <w:bookmarkEnd w:id="21"/>
    </w:p>
    <w:p w:rsidR="00B13461" w:rsidRPr="00CA5DDE" w:rsidRDefault="00B13461" w:rsidP="00CA5DDE">
      <w:pPr>
        <w:spacing w:line="275" w:lineRule="auto"/>
        <w:ind w:right="366"/>
        <w:jc w:val="both"/>
        <w:rPr>
          <w:rFonts w:eastAsia="Garamond"/>
          <w:szCs w:val="22"/>
        </w:rPr>
      </w:pPr>
      <w:r w:rsidRPr="00CA5DDE">
        <w:rPr>
          <w:rFonts w:eastAsia="Garamond"/>
          <w:szCs w:val="22"/>
        </w:rPr>
        <w:t>India: India has emerged an important trade partner of Afghanistan. The recent establishment of air corridor between Afghanistan and India has created an opportunity for Afghanistan to export to India. The cargo service aims to improve landlocked Afghanistan's links to markets abroad and boost the growth prospects of its agricultural and carpet ind</w:t>
      </w:r>
      <w:r w:rsidR="0029450F">
        <w:rPr>
          <w:rFonts w:eastAsia="Garamond"/>
          <w:szCs w:val="22"/>
        </w:rPr>
        <w:t>ustries. The recent improvement</w:t>
      </w:r>
      <w:r w:rsidRPr="00CA5DDE">
        <w:rPr>
          <w:rFonts w:eastAsia="Garamond"/>
          <w:szCs w:val="22"/>
        </w:rPr>
        <w:t xml:space="preserve"> in Afghanistan’s trade balance is attributed mainly to the opening up of this air corridor.</w:t>
      </w:r>
    </w:p>
    <w:p w:rsidR="00B13461" w:rsidRPr="005A49D3" w:rsidRDefault="00B13461" w:rsidP="00CA5DDE">
      <w:pPr>
        <w:spacing w:line="275" w:lineRule="auto"/>
        <w:ind w:right="366"/>
        <w:jc w:val="both"/>
      </w:pPr>
      <w:r w:rsidRPr="0029450F">
        <w:rPr>
          <w:rFonts w:eastAsia="Garamond"/>
          <w:b/>
          <w:bCs/>
          <w:szCs w:val="22"/>
        </w:rPr>
        <w:t>China:</w:t>
      </w:r>
      <w:r w:rsidRPr="00CA5DDE">
        <w:rPr>
          <w:rFonts w:eastAsia="Garamond"/>
          <w:szCs w:val="22"/>
        </w:rPr>
        <w:t xml:space="preserve"> Chinese economy is undergoing a major structural change.  Activity continues to shift to consumption, while investment growth rate remains well below those in recent years. Chinese economy has introduced significant cuts in overcapacity sectors. In the first quarter of 2018, China recorded its first current account deficit since 2001. China’s growth is expected to slow in the coming years, with subsequent effects on world commodity demand. However, downside risks to the outlook stem from financial sector vulnerabilities and an intensification of trade</w:t>
      </w:r>
      <w:r w:rsidRPr="005A49D3">
        <w:t xml:space="preserve"> tensions amid increased protectionism in key trading partners. Afghanistan is not too reliant on China for exports; however, a continued slowdown may reduce the likelihood of future investment from China in Afghanistan’s extractive industry.</w:t>
      </w:r>
    </w:p>
    <w:p w:rsidR="00B13461" w:rsidRPr="00CA5DDE" w:rsidRDefault="00B13461" w:rsidP="00CA5DDE">
      <w:pPr>
        <w:spacing w:line="275" w:lineRule="auto"/>
        <w:ind w:right="366"/>
        <w:jc w:val="both"/>
        <w:rPr>
          <w:rFonts w:eastAsia="Garamond"/>
          <w:szCs w:val="22"/>
        </w:rPr>
      </w:pPr>
      <w:r w:rsidRPr="00CA5DDE">
        <w:rPr>
          <w:rFonts w:eastAsia="Garamond"/>
          <w:b/>
          <w:bCs/>
          <w:szCs w:val="22"/>
        </w:rPr>
        <w:t>Iran:</w:t>
      </w:r>
      <w:r w:rsidRPr="00CA5DDE">
        <w:rPr>
          <w:rFonts w:eastAsia="Garamond"/>
          <w:szCs w:val="22"/>
        </w:rPr>
        <w:t xml:space="preserve"> Iran has seen large falls in economic activity in few key sectors (including construction and manufacturing) in recent times. Delays in investment decisions while sanctions are lifted, and falls in commodity prices internationally hav</w:t>
      </w:r>
      <w:r w:rsidR="0029450F">
        <w:rPr>
          <w:rFonts w:eastAsia="Garamond"/>
          <w:szCs w:val="22"/>
        </w:rPr>
        <w:t>e slowed the economy. Growth is</w:t>
      </w:r>
      <w:r w:rsidRPr="00CA5DDE">
        <w:rPr>
          <w:rFonts w:eastAsia="Garamond"/>
          <w:szCs w:val="22"/>
        </w:rPr>
        <w:t xml:space="preserve"> however, likely to be significantly reduced if sanctions remained intact, with lesser access to financing options, financial services, international trade, and investment.  The United States' renewal of sanctions on Iran is having an unintended knock-on effect on Afghanistan. The Afghani is taking a hit as dollar smugglers capitalize on the shortage of foreign exchange in neighboring Iran, mainly because of the US sanctions. </w:t>
      </w:r>
      <w:r w:rsidRPr="00CA5DDE">
        <w:rPr>
          <w:rFonts w:eastAsia="Garamond"/>
          <w:szCs w:val="22"/>
          <w:rtl/>
        </w:rPr>
        <w:t xml:space="preserve"> </w:t>
      </w:r>
      <w:r w:rsidRPr="00CA5DDE">
        <w:rPr>
          <w:rFonts w:eastAsia="Garamond"/>
          <w:szCs w:val="22"/>
        </w:rPr>
        <w:t xml:space="preserve">The imposition of sanctions on Iran by the USA caused the fall in Toman value against other currencies. Thus, Afghani will continue to take the beat as dollar smugglers rush to provide much-needed foreign exchange to the neighboring Iranian economy. </w:t>
      </w:r>
    </w:p>
    <w:p w:rsidR="00B13461" w:rsidRPr="00CA5DDE" w:rsidRDefault="00B13461" w:rsidP="00CA5DDE">
      <w:pPr>
        <w:spacing w:line="275" w:lineRule="auto"/>
        <w:ind w:right="366"/>
        <w:jc w:val="both"/>
        <w:rPr>
          <w:rFonts w:eastAsia="Garamond"/>
          <w:szCs w:val="22"/>
        </w:rPr>
      </w:pPr>
      <w:r w:rsidRPr="00CA5DDE">
        <w:rPr>
          <w:rFonts w:eastAsia="Garamond"/>
          <w:b/>
          <w:bCs/>
          <w:szCs w:val="22"/>
        </w:rPr>
        <w:t>Pakistan:</w:t>
      </w:r>
      <w:r w:rsidRPr="00CA5DDE">
        <w:rPr>
          <w:rFonts w:eastAsia="Garamond"/>
          <w:szCs w:val="22"/>
        </w:rPr>
        <w:t xml:space="preserve"> In Pakistan, including export sectors, several other sectors suffered from economic slowdown. In general, prospects are likely to be positive given planned investment in energy and regional trade expansion.  The Pakistani Rupee saw significant falls in value, in line with similar falls in Afghani; meaning there have been smaller impacts for Afghanistan against the rupee than other currencies. Historically, Afghanistan was reliant on Pakistan for import commodities; however, with the recent opening-up of trade routes with neighboring countries like Turkmenistan, Kazakhstan, Uzbekistan and Iran (Chabahar), the trade reliance on Pakistan has decreased. Against the initial projects, the forecast for GDP growth is at 3% in the next two years, down from 5.8% in 2018. Since the start of 2016, imports of construction materials related to large-scale Chinese infrastructure investments led to the current-account deficit to soar, while its weakening currency along with economic growth pushed inflation higher.</w:t>
      </w:r>
    </w:p>
    <w:p w:rsidR="00CA5DDE" w:rsidRPr="00CA5DDE" w:rsidRDefault="00B13461" w:rsidP="00CA5DDE">
      <w:pPr>
        <w:spacing w:line="275" w:lineRule="auto"/>
        <w:ind w:right="366"/>
        <w:jc w:val="both"/>
        <w:rPr>
          <w:rFonts w:eastAsia="Garamond"/>
          <w:szCs w:val="22"/>
        </w:rPr>
      </w:pPr>
      <w:r w:rsidRPr="00CA5DDE">
        <w:rPr>
          <w:rFonts w:eastAsia="Garamond"/>
          <w:b/>
          <w:bCs/>
          <w:szCs w:val="22"/>
        </w:rPr>
        <w:lastRenderedPageBreak/>
        <w:t>Asia’s Northeast Economies:</w:t>
      </w:r>
      <w:r w:rsidRPr="00CA5DDE">
        <w:rPr>
          <w:rFonts w:eastAsia="Garamond"/>
          <w:szCs w:val="22"/>
        </w:rPr>
        <w:t xml:space="preserve"> Growth in the region is projected to moderate to 6.3 percent in 2018, and to 6.1 percent on average in 2019-20. The structural slowdown in China will offset a further pickup in the rest of the ASEAN region. Momentum in the global activity could lead to stronger-than-expected regional growth with solid exports and strong domestic demand. Overall, conditions are mostly favorable for the region in 2018, including robust global trade, moderate borrowing costs and sustained capital inflows. However, the possibility of an abrupt tightening of global financing conditions and intensified trade tensions between the two global economies could have negative impact of the health of the ASEAN economies. Countries with rapidly rising fiscal deficits are vulnerable to disruptions in financial activities. Geopolitical risks and tensions remain elevated on the Korean Peninsula. Domestically,   monetary conditions have tightened somewhat and tighter prudential policies have kept credit growth in check in these economies. Several major economies have renewed their fiscal consolidation efforts in 2018 (e.g., China, Indonesia, Malaysia, and Vietnam).</w:t>
      </w:r>
    </w:p>
    <w:p w:rsidR="00CA5DDE" w:rsidRDefault="00CA5DDE" w:rsidP="00CA5DDE">
      <w:r>
        <w:br w:type="page"/>
      </w:r>
    </w:p>
    <w:p w:rsidR="002411D2" w:rsidRPr="005A49D3" w:rsidRDefault="002411D2" w:rsidP="005F2008">
      <w:pPr>
        <w:pStyle w:val="Heading2"/>
        <w:rPr>
          <w:rFonts w:eastAsia="Corbel"/>
        </w:rPr>
      </w:pPr>
      <w:bookmarkStart w:id="22" w:name="_Toc535744261"/>
      <w:bookmarkStart w:id="23" w:name="_Toc535750190"/>
      <w:r w:rsidRPr="005A49D3">
        <w:rPr>
          <w:rFonts w:eastAsia="Corbel"/>
        </w:rPr>
        <w:lastRenderedPageBreak/>
        <w:t>Fiscal outlook and Strategy</w:t>
      </w:r>
      <w:bookmarkEnd w:id="22"/>
      <w:bookmarkEnd w:id="23"/>
    </w:p>
    <w:p w:rsidR="00B13461" w:rsidRPr="005A49D3" w:rsidRDefault="002411D2" w:rsidP="005F2008">
      <w:pPr>
        <w:pStyle w:val="Heading3"/>
        <w:rPr>
          <w:rFonts w:eastAsia="Corbel"/>
        </w:rPr>
      </w:pPr>
      <w:bookmarkStart w:id="24" w:name="_Toc535744262"/>
      <w:bookmarkStart w:id="25" w:name="_Toc535750191"/>
      <w:r w:rsidRPr="005A49D3">
        <w:rPr>
          <w:rFonts w:eastAsia="Corbel"/>
        </w:rPr>
        <w:t xml:space="preserve">Fiscal </w:t>
      </w:r>
      <w:r w:rsidR="00B13461" w:rsidRPr="005A49D3">
        <w:rPr>
          <w:rFonts w:eastAsia="Corbel"/>
        </w:rPr>
        <w:t>Strategy</w:t>
      </w:r>
      <w:bookmarkEnd w:id="24"/>
      <w:bookmarkEnd w:id="25"/>
    </w:p>
    <w:p w:rsidR="00B13461" w:rsidRPr="005A49D3" w:rsidRDefault="00B13461" w:rsidP="00B13461">
      <w:pPr>
        <w:spacing w:line="170" w:lineRule="exact"/>
        <w:rPr>
          <w:rFonts w:ascii="Times New Roman" w:eastAsia="Times New Roman" w:hAnsi="Times New Roman"/>
          <w:szCs w:val="22"/>
        </w:rPr>
      </w:pPr>
    </w:p>
    <w:p w:rsidR="00B13461" w:rsidRPr="005A49D3" w:rsidRDefault="00B13461" w:rsidP="00B13461">
      <w:pPr>
        <w:spacing w:line="275" w:lineRule="auto"/>
        <w:ind w:right="366"/>
        <w:jc w:val="both"/>
        <w:rPr>
          <w:rFonts w:eastAsia="Garamond"/>
          <w:szCs w:val="22"/>
        </w:rPr>
      </w:pPr>
      <w:r w:rsidRPr="005A49D3">
        <w:rPr>
          <w:rFonts w:eastAsia="Garamond"/>
          <w:szCs w:val="22"/>
        </w:rPr>
        <w:t>A credible and coherent fiscal strategy is a pre-condition for the success of the Government's self-reliance vision. The Government is adopting a more structured approach to fiscal planning with the long-term goal of ensuring sustainable finances to support economic growth and development. The Government's fiscal strategy set out in the Afghanistan National Peace and Development Framework (ANPDF) includes three policy assumptions:</w:t>
      </w:r>
    </w:p>
    <w:p w:rsidR="00B13461" w:rsidRPr="005A49D3" w:rsidRDefault="00B13461" w:rsidP="00B13461">
      <w:pPr>
        <w:spacing w:line="185" w:lineRule="exact"/>
        <w:rPr>
          <w:rFonts w:ascii="Times New Roman" w:eastAsia="Times New Roman" w:hAnsi="Times New Roman"/>
          <w:szCs w:val="22"/>
        </w:rPr>
      </w:pPr>
    </w:p>
    <w:p w:rsidR="00B13461" w:rsidRPr="005A49D3" w:rsidRDefault="00B13461" w:rsidP="00873EC3">
      <w:pPr>
        <w:numPr>
          <w:ilvl w:val="0"/>
          <w:numId w:val="1"/>
        </w:numPr>
        <w:tabs>
          <w:tab w:val="left" w:pos="1080"/>
        </w:tabs>
        <w:spacing w:line="0" w:lineRule="atLeast"/>
        <w:ind w:left="1080" w:hanging="360"/>
        <w:rPr>
          <w:rFonts w:eastAsia="Garamond"/>
          <w:szCs w:val="22"/>
        </w:rPr>
      </w:pPr>
      <w:r w:rsidRPr="005A49D3">
        <w:rPr>
          <w:rFonts w:eastAsia="Garamond"/>
          <w:szCs w:val="22"/>
        </w:rPr>
        <w:t>The Government will use fiscal policy as the primary tool for economic management;</w:t>
      </w:r>
    </w:p>
    <w:p w:rsidR="00B13461" w:rsidRPr="005A49D3" w:rsidRDefault="00B13461" w:rsidP="00B13461">
      <w:pPr>
        <w:spacing w:line="155" w:lineRule="exact"/>
        <w:rPr>
          <w:rFonts w:eastAsia="Garamond"/>
          <w:szCs w:val="22"/>
        </w:rPr>
      </w:pPr>
    </w:p>
    <w:p w:rsidR="00B13461" w:rsidRPr="005A49D3" w:rsidRDefault="00B13461" w:rsidP="00873EC3">
      <w:pPr>
        <w:numPr>
          <w:ilvl w:val="0"/>
          <w:numId w:val="1"/>
        </w:numPr>
        <w:tabs>
          <w:tab w:val="left" w:pos="1080"/>
        </w:tabs>
        <w:spacing w:line="276" w:lineRule="auto"/>
        <w:ind w:left="1080" w:right="366" w:hanging="360"/>
        <w:jc w:val="both"/>
        <w:rPr>
          <w:rFonts w:eastAsia="Garamond"/>
          <w:szCs w:val="22"/>
        </w:rPr>
      </w:pPr>
      <w:r w:rsidRPr="005A49D3">
        <w:rPr>
          <w:rFonts w:eastAsia="Garamond"/>
          <w:szCs w:val="22"/>
        </w:rPr>
        <w:t>The Government will, over time, collect enough revenue to meet operational and more of Afghanistan's development needs, gradually reducing international development assistance over the next fifteen years; and</w:t>
      </w:r>
    </w:p>
    <w:p w:rsidR="00B13461" w:rsidRPr="005A49D3" w:rsidRDefault="00B13461" w:rsidP="00B13461">
      <w:pPr>
        <w:spacing w:line="121" w:lineRule="exact"/>
        <w:rPr>
          <w:rFonts w:eastAsia="Garamond"/>
          <w:szCs w:val="22"/>
        </w:rPr>
      </w:pPr>
    </w:p>
    <w:p w:rsidR="00B13461" w:rsidRPr="005A49D3" w:rsidRDefault="00B13461" w:rsidP="00873EC3">
      <w:pPr>
        <w:numPr>
          <w:ilvl w:val="0"/>
          <w:numId w:val="1"/>
        </w:numPr>
        <w:tabs>
          <w:tab w:val="left" w:pos="1080"/>
        </w:tabs>
        <w:spacing w:line="276" w:lineRule="auto"/>
        <w:ind w:left="1080" w:right="366" w:hanging="360"/>
        <w:jc w:val="both"/>
        <w:rPr>
          <w:rFonts w:eastAsia="Garamond"/>
          <w:szCs w:val="22"/>
        </w:rPr>
      </w:pPr>
      <w:r w:rsidRPr="005A49D3">
        <w:rPr>
          <w:rFonts w:eastAsia="Garamond"/>
          <w:szCs w:val="22"/>
        </w:rPr>
        <w:t>The Government will balance the budget over the medium to long-term, without borrowing unsustainably. Any borrowing will be concessional and in accordance with agreements with the International Monetary Fund (IMF).</w:t>
      </w:r>
    </w:p>
    <w:p w:rsidR="00B13461" w:rsidRPr="005A49D3" w:rsidRDefault="00B13461" w:rsidP="00B13461">
      <w:pPr>
        <w:spacing w:line="121" w:lineRule="exact"/>
        <w:rPr>
          <w:rFonts w:ascii="Times New Roman" w:eastAsia="Times New Roman" w:hAnsi="Times New Roman"/>
          <w:szCs w:val="22"/>
        </w:rPr>
      </w:pPr>
    </w:p>
    <w:p w:rsidR="00B13461" w:rsidRPr="005A49D3" w:rsidRDefault="00B13461" w:rsidP="000615B8">
      <w:pPr>
        <w:spacing w:line="275" w:lineRule="auto"/>
        <w:ind w:right="366"/>
        <w:jc w:val="both"/>
        <w:rPr>
          <w:rFonts w:eastAsia="Garamond"/>
          <w:szCs w:val="22"/>
        </w:rPr>
      </w:pPr>
      <w:r w:rsidRPr="000615B8">
        <w:rPr>
          <w:rFonts w:eastAsia="Garamond"/>
          <w:szCs w:val="22"/>
        </w:rPr>
        <w:t>The foundation of the Government’s fiscal strategy is the pursuit of self</w:t>
      </w:r>
      <w:r w:rsidRPr="005A49D3">
        <w:rPr>
          <w:rFonts w:eastAsia="Garamond"/>
          <w:szCs w:val="22"/>
        </w:rPr>
        <w:t>-reliance. This means in</w:t>
      </w:r>
      <w:r w:rsidRPr="000615B8">
        <w:rPr>
          <w:rFonts w:eastAsia="Garamond"/>
          <w:szCs w:val="22"/>
        </w:rPr>
        <w:t xml:space="preserve"> </w:t>
      </w:r>
      <w:r w:rsidRPr="005A49D3">
        <w:rPr>
          <w:rFonts w:eastAsia="Garamond"/>
          <w:szCs w:val="22"/>
        </w:rPr>
        <w:t>fiscal terms achieving economic and social objectives through sustainable means: not spending too much, not accepting too much aid, and making the best use of available resources. To do this, the Government will continue its ongoing fiscal reform agenda that will enable a much greater focus on increasing fiscal space in all five dimensions:</w:t>
      </w:r>
    </w:p>
    <w:p w:rsidR="00B13461" w:rsidRPr="005A49D3" w:rsidRDefault="00B13461" w:rsidP="00B13461">
      <w:pPr>
        <w:spacing w:line="195" w:lineRule="exact"/>
        <w:rPr>
          <w:rFonts w:ascii="Times New Roman" w:eastAsia="Times New Roman" w:hAnsi="Times New Roman"/>
          <w:szCs w:val="22"/>
        </w:rPr>
      </w:pPr>
    </w:p>
    <w:p w:rsidR="00B13461" w:rsidRPr="005A49D3" w:rsidRDefault="00B13461" w:rsidP="00873EC3">
      <w:pPr>
        <w:numPr>
          <w:ilvl w:val="0"/>
          <w:numId w:val="2"/>
        </w:numPr>
        <w:tabs>
          <w:tab w:val="left" w:pos="1080"/>
        </w:tabs>
        <w:spacing w:line="259" w:lineRule="auto"/>
        <w:ind w:left="1080" w:right="366" w:hanging="360"/>
        <w:rPr>
          <w:rFonts w:eastAsia="Garamond"/>
          <w:szCs w:val="22"/>
        </w:rPr>
      </w:pPr>
      <w:r w:rsidRPr="005A49D3">
        <w:rPr>
          <w:rFonts w:eastAsia="Garamond"/>
          <w:szCs w:val="22"/>
        </w:rPr>
        <w:t xml:space="preserve">Being more efficient with way government does business </w:t>
      </w:r>
      <w:r w:rsidRPr="005A49D3">
        <w:rPr>
          <w:rFonts w:ascii="Arial" w:eastAsia="Arial" w:hAnsi="Arial"/>
          <w:szCs w:val="22"/>
        </w:rPr>
        <w:t>–</w:t>
      </w:r>
      <w:r w:rsidRPr="005A49D3">
        <w:rPr>
          <w:rFonts w:eastAsia="Garamond"/>
          <w:szCs w:val="22"/>
        </w:rPr>
        <w:t xml:space="preserve"> including by preventing, detecting and combating corruption;</w:t>
      </w:r>
    </w:p>
    <w:p w:rsidR="00B13461" w:rsidRPr="005A49D3" w:rsidRDefault="00B13461" w:rsidP="00B13461">
      <w:pPr>
        <w:spacing w:line="136" w:lineRule="exact"/>
        <w:rPr>
          <w:rFonts w:eastAsia="Garamond"/>
          <w:szCs w:val="22"/>
        </w:rPr>
      </w:pPr>
    </w:p>
    <w:p w:rsidR="00B13461" w:rsidRPr="005A49D3" w:rsidRDefault="00B13461" w:rsidP="00873EC3">
      <w:pPr>
        <w:numPr>
          <w:ilvl w:val="0"/>
          <w:numId w:val="2"/>
        </w:numPr>
        <w:tabs>
          <w:tab w:val="left" w:pos="1080"/>
        </w:tabs>
        <w:spacing w:line="0" w:lineRule="atLeast"/>
        <w:ind w:left="1080" w:hanging="360"/>
        <w:rPr>
          <w:rFonts w:eastAsia="Garamond"/>
          <w:szCs w:val="22"/>
        </w:rPr>
      </w:pPr>
      <w:r w:rsidRPr="005A49D3">
        <w:rPr>
          <w:rFonts w:eastAsia="Garamond"/>
          <w:szCs w:val="22"/>
        </w:rPr>
        <w:t>Raising more domestic revenue to higher levels;</w:t>
      </w:r>
    </w:p>
    <w:p w:rsidR="00B13461" w:rsidRPr="005A49D3" w:rsidRDefault="00B13461" w:rsidP="00B13461">
      <w:pPr>
        <w:spacing w:line="158" w:lineRule="exact"/>
        <w:rPr>
          <w:rFonts w:eastAsia="Garamond"/>
          <w:szCs w:val="22"/>
        </w:rPr>
      </w:pPr>
    </w:p>
    <w:p w:rsidR="00B13461" w:rsidRPr="005A49D3" w:rsidRDefault="00B13461" w:rsidP="00873EC3">
      <w:pPr>
        <w:numPr>
          <w:ilvl w:val="0"/>
          <w:numId w:val="2"/>
        </w:numPr>
        <w:tabs>
          <w:tab w:val="left" w:pos="1080"/>
        </w:tabs>
        <w:spacing w:line="275" w:lineRule="auto"/>
        <w:ind w:left="1080" w:right="366" w:hanging="360"/>
        <w:rPr>
          <w:rFonts w:eastAsia="Garamond"/>
          <w:szCs w:val="22"/>
        </w:rPr>
      </w:pPr>
      <w:r w:rsidRPr="005A49D3">
        <w:rPr>
          <w:rFonts w:eastAsia="Garamond"/>
          <w:szCs w:val="22"/>
        </w:rPr>
        <w:t>Seeking concessional debt and innovative financing for high impact lower risk investments;</w:t>
      </w:r>
    </w:p>
    <w:p w:rsidR="00B13461" w:rsidRPr="005A49D3" w:rsidRDefault="00B13461" w:rsidP="00B13461">
      <w:pPr>
        <w:spacing w:line="121" w:lineRule="exact"/>
        <w:rPr>
          <w:rFonts w:eastAsia="Garamond"/>
          <w:szCs w:val="22"/>
        </w:rPr>
      </w:pPr>
    </w:p>
    <w:p w:rsidR="00B13461" w:rsidRPr="005A49D3" w:rsidRDefault="00B13461" w:rsidP="00873EC3">
      <w:pPr>
        <w:numPr>
          <w:ilvl w:val="0"/>
          <w:numId w:val="2"/>
        </w:numPr>
        <w:tabs>
          <w:tab w:val="left" w:pos="1080"/>
        </w:tabs>
        <w:spacing w:line="0" w:lineRule="atLeast"/>
        <w:ind w:left="1080" w:hanging="360"/>
        <w:rPr>
          <w:rFonts w:eastAsia="Garamond"/>
          <w:szCs w:val="22"/>
        </w:rPr>
      </w:pPr>
      <w:r w:rsidRPr="005A49D3">
        <w:rPr>
          <w:rFonts w:eastAsia="Garamond"/>
          <w:szCs w:val="22"/>
        </w:rPr>
        <w:t>Using aid more responsibly and effectively; and</w:t>
      </w:r>
    </w:p>
    <w:p w:rsidR="00B13461" w:rsidRPr="005A49D3" w:rsidRDefault="00B13461" w:rsidP="00B13461">
      <w:pPr>
        <w:spacing w:line="155" w:lineRule="exact"/>
        <w:rPr>
          <w:rFonts w:eastAsia="Garamond"/>
          <w:szCs w:val="22"/>
        </w:rPr>
      </w:pPr>
    </w:p>
    <w:p w:rsidR="00B13461" w:rsidRPr="005A49D3" w:rsidRDefault="00B13461" w:rsidP="00873EC3">
      <w:pPr>
        <w:numPr>
          <w:ilvl w:val="0"/>
          <w:numId w:val="2"/>
        </w:numPr>
        <w:tabs>
          <w:tab w:val="left" w:pos="1080"/>
        </w:tabs>
        <w:spacing w:line="0" w:lineRule="atLeast"/>
        <w:ind w:left="1080" w:hanging="360"/>
        <w:rPr>
          <w:rFonts w:eastAsia="Garamond"/>
          <w:szCs w:val="22"/>
        </w:rPr>
      </w:pPr>
      <w:r w:rsidRPr="005A49D3">
        <w:rPr>
          <w:rFonts w:eastAsia="Garamond"/>
          <w:szCs w:val="22"/>
        </w:rPr>
        <w:t>Looking into the future to prioritize policies and improve fiscal performance over time.</w:t>
      </w:r>
    </w:p>
    <w:p w:rsidR="00B13461" w:rsidRPr="005A49D3" w:rsidRDefault="00B13461" w:rsidP="005F2008">
      <w:pPr>
        <w:pStyle w:val="Heading3"/>
        <w:rPr>
          <w:rFonts w:eastAsia="Corbel"/>
        </w:rPr>
      </w:pPr>
      <w:bookmarkStart w:id="26" w:name="_Toc535744263"/>
      <w:bookmarkStart w:id="27" w:name="_Toc535750192"/>
      <w:r w:rsidRPr="005A49D3">
        <w:rPr>
          <w:rFonts w:eastAsia="Corbel"/>
        </w:rPr>
        <w:t>Economic and Fiscal Goals</w:t>
      </w:r>
      <w:bookmarkEnd w:id="26"/>
      <w:bookmarkEnd w:id="27"/>
    </w:p>
    <w:p w:rsidR="00B13461" w:rsidRPr="005A49D3" w:rsidRDefault="00B13461" w:rsidP="00B13461">
      <w:pPr>
        <w:spacing w:line="168" w:lineRule="exact"/>
        <w:rPr>
          <w:rFonts w:ascii="Times New Roman" w:eastAsia="Times New Roman" w:hAnsi="Times New Roman"/>
          <w:szCs w:val="22"/>
        </w:rPr>
      </w:pPr>
    </w:p>
    <w:p w:rsidR="00B13461" w:rsidRPr="005A49D3" w:rsidRDefault="00B13461" w:rsidP="00E93C90">
      <w:pPr>
        <w:spacing w:line="277" w:lineRule="auto"/>
        <w:ind w:right="206"/>
        <w:rPr>
          <w:rFonts w:eastAsia="Garamond"/>
          <w:szCs w:val="22"/>
        </w:rPr>
      </w:pPr>
      <w:r w:rsidRPr="005A49D3">
        <w:rPr>
          <w:rFonts w:eastAsia="Garamond"/>
          <w:szCs w:val="22"/>
        </w:rPr>
        <w:t>The Government has set goals in the short to medium-term, to guide the budget in identifying necessary investments.</w:t>
      </w:r>
    </w:p>
    <w:p w:rsidR="00B13461" w:rsidRPr="005A49D3" w:rsidRDefault="00B13461" w:rsidP="00B13461">
      <w:pPr>
        <w:spacing w:line="0" w:lineRule="atLeast"/>
        <w:rPr>
          <w:rFonts w:eastAsia="Garamond"/>
          <w:szCs w:val="22"/>
        </w:rPr>
      </w:pPr>
      <w:r w:rsidRPr="005A49D3">
        <w:rPr>
          <w:rFonts w:eastAsia="Garamond"/>
          <w:szCs w:val="22"/>
        </w:rPr>
        <w:t>The following three aspirational goals guide the preparation of the budget:</w:t>
      </w:r>
    </w:p>
    <w:p w:rsidR="00B13461" w:rsidRPr="005A49D3" w:rsidRDefault="00B13461" w:rsidP="00B13461">
      <w:pPr>
        <w:spacing w:line="218" w:lineRule="exact"/>
        <w:rPr>
          <w:rFonts w:ascii="Times New Roman" w:eastAsia="Times New Roman" w:hAnsi="Times New Roman"/>
          <w:szCs w:val="22"/>
        </w:rPr>
      </w:pPr>
    </w:p>
    <w:p w:rsidR="00B13461" w:rsidRPr="005A49D3" w:rsidRDefault="00B13461" w:rsidP="00873EC3">
      <w:pPr>
        <w:numPr>
          <w:ilvl w:val="0"/>
          <w:numId w:val="3"/>
        </w:numPr>
        <w:tabs>
          <w:tab w:val="left" w:pos="1080"/>
        </w:tabs>
        <w:spacing w:line="0" w:lineRule="atLeast"/>
        <w:ind w:left="1080" w:hanging="360"/>
        <w:rPr>
          <w:rFonts w:eastAsia="Garamond"/>
          <w:szCs w:val="22"/>
        </w:rPr>
      </w:pPr>
      <w:r w:rsidRPr="005A49D3">
        <w:rPr>
          <w:rFonts w:eastAsia="Garamond"/>
          <w:szCs w:val="22"/>
        </w:rPr>
        <w:lastRenderedPageBreak/>
        <w:t>Achieve average growth of 5 per cent per year until 2020;</w:t>
      </w:r>
    </w:p>
    <w:p w:rsidR="00B13461" w:rsidRPr="005A49D3" w:rsidRDefault="00B13461" w:rsidP="00B13461">
      <w:pPr>
        <w:spacing w:line="158" w:lineRule="exact"/>
        <w:rPr>
          <w:rFonts w:eastAsia="Garamond"/>
          <w:szCs w:val="22"/>
        </w:rPr>
      </w:pPr>
    </w:p>
    <w:p w:rsidR="00B13461" w:rsidRPr="005A49D3" w:rsidRDefault="00B13461" w:rsidP="00873EC3">
      <w:pPr>
        <w:numPr>
          <w:ilvl w:val="0"/>
          <w:numId w:val="3"/>
        </w:numPr>
        <w:tabs>
          <w:tab w:val="left" w:pos="1080"/>
        </w:tabs>
        <w:spacing w:line="275" w:lineRule="auto"/>
        <w:ind w:left="1080" w:right="366" w:hanging="360"/>
        <w:rPr>
          <w:rFonts w:eastAsia="Garamond"/>
          <w:szCs w:val="22"/>
        </w:rPr>
      </w:pPr>
      <w:r w:rsidRPr="005A49D3">
        <w:rPr>
          <w:rFonts w:eastAsia="Garamond"/>
          <w:szCs w:val="22"/>
        </w:rPr>
        <w:t>Increase development budget expenditures by 10-15 per cent each year as we expand delivery of education and health services in the medium-term; and</w:t>
      </w:r>
    </w:p>
    <w:p w:rsidR="00B13461" w:rsidRPr="005A49D3" w:rsidRDefault="00B13461" w:rsidP="00B13461">
      <w:pPr>
        <w:spacing w:line="121" w:lineRule="exact"/>
        <w:rPr>
          <w:rFonts w:eastAsia="Garamond"/>
          <w:szCs w:val="22"/>
        </w:rPr>
      </w:pPr>
    </w:p>
    <w:p w:rsidR="00B13461" w:rsidRPr="005A49D3" w:rsidRDefault="00B13461" w:rsidP="00873EC3">
      <w:pPr>
        <w:numPr>
          <w:ilvl w:val="0"/>
          <w:numId w:val="3"/>
        </w:numPr>
        <w:tabs>
          <w:tab w:val="left" w:pos="1080"/>
        </w:tabs>
        <w:spacing w:line="275" w:lineRule="auto"/>
        <w:ind w:left="1080" w:right="386" w:hanging="360"/>
        <w:rPr>
          <w:rFonts w:eastAsia="Garamond"/>
          <w:szCs w:val="22"/>
        </w:rPr>
      </w:pPr>
      <w:r w:rsidRPr="005A49D3">
        <w:rPr>
          <w:rFonts w:eastAsia="Garamond"/>
          <w:szCs w:val="22"/>
        </w:rPr>
        <w:t>Grow domestic revenue by up to 12 per cent annually, with the overarching goal of having domestic revenues account for 14 per cent of the GDP by 2020.</w:t>
      </w:r>
    </w:p>
    <w:p w:rsidR="00B13461" w:rsidRPr="005A49D3" w:rsidRDefault="00B13461" w:rsidP="005F2008">
      <w:pPr>
        <w:pStyle w:val="Heading3"/>
      </w:pPr>
      <w:bookmarkStart w:id="28" w:name="_Toc535744264"/>
      <w:bookmarkStart w:id="29" w:name="_Toc535750193"/>
      <w:r w:rsidRPr="005A49D3">
        <w:t>Medium Term Expenditure Framework and Forward Estimates for 1398-1401</w:t>
      </w:r>
      <w:bookmarkEnd w:id="28"/>
      <w:bookmarkEnd w:id="29"/>
    </w:p>
    <w:p w:rsidR="00B13461" w:rsidRPr="000615B8" w:rsidRDefault="00B13461" w:rsidP="000615B8">
      <w:pPr>
        <w:spacing w:line="275" w:lineRule="auto"/>
        <w:ind w:right="366"/>
        <w:jc w:val="both"/>
        <w:rPr>
          <w:rFonts w:eastAsia="Garamond"/>
          <w:szCs w:val="22"/>
          <w:rtl/>
        </w:rPr>
      </w:pPr>
      <w:r w:rsidRPr="000615B8">
        <w:rPr>
          <w:rFonts w:eastAsia="Garamond"/>
          <w:szCs w:val="22"/>
        </w:rPr>
        <w:t>This document presents the FY 1398 budget along with the forward estimates for the next three years. This approach will enable the government to have a futuristic vision towards the revenue outlook and adopt policy relevant decisions in light of that. The forward estimates demonstrated in this document are based on the actual performances of the previous years, with efforts to provide these estimates realistically and conservatively. This effort is taken to maintain the national budget planning reforms and root out the gap between the planned and the actual budgets.</w:t>
      </w:r>
    </w:p>
    <w:p w:rsidR="00B13461" w:rsidRPr="000615B8" w:rsidRDefault="00B13461" w:rsidP="000615B8">
      <w:pPr>
        <w:spacing w:line="275" w:lineRule="auto"/>
        <w:ind w:right="366"/>
        <w:jc w:val="both"/>
        <w:rPr>
          <w:rFonts w:eastAsia="Garamond"/>
          <w:spacing w:val="-2"/>
          <w:szCs w:val="22"/>
        </w:rPr>
      </w:pPr>
      <w:r w:rsidRPr="000615B8">
        <w:rPr>
          <w:rFonts w:eastAsia="Garamond"/>
          <w:spacing w:val="-2"/>
          <w:szCs w:val="22"/>
        </w:rPr>
        <w:t>As it’s noticed, the domestic revenue has improved in the medium term; however, donor funding will decrease considerably. Based on the forward estimates, the domestic revenues for FYs 1398 – 1401 will increase respectively to 8%, 20%, 35% and 49% as compared to the FY 1397. However, on the other hand, the decrease in the annual funding has grown and is more than the increase in the revenues proportionally. Foreign aid during the FYs 1398, 1399, 1400 and 1401 decrease respectively to 16%, 23%, 46% and 60% in contrast to the FY 1397.</w:t>
      </w:r>
    </w:p>
    <w:p w:rsidR="00264556" w:rsidRPr="00264556" w:rsidRDefault="00264556" w:rsidP="00264556">
      <w:pPr>
        <w:pStyle w:val="Caption"/>
        <w:bidi w:val="0"/>
        <w:jc w:val="left"/>
        <w:rPr>
          <w:rFonts w:ascii="Garamond" w:hAnsi="Garamond"/>
          <w:sz w:val="22"/>
          <w:szCs w:val="22"/>
        </w:rPr>
      </w:pPr>
      <w:bookmarkStart w:id="30" w:name="_Toc535750368"/>
      <w:r w:rsidRPr="00264556">
        <w:rPr>
          <w:rFonts w:ascii="Garamond" w:hAnsi="Garamond"/>
          <w:sz w:val="22"/>
          <w:szCs w:val="22"/>
        </w:rPr>
        <w:t xml:space="preserve">Figure </w:t>
      </w:r>
      <w:r w:rsidRPr="00264556">
        <w:rPr>
          <w:rFonts w:ascii="Garamond" w:hAnsi="Garamond"/>
          <w:sz w:val="22"/>
          <w:szCs w:val="22"/>
        </w:rPr>
        <w:fldChar w:fldCharType="begin"/>
      </w:r>
      <w:r w:rsidRPr="00264556">
        <w:rPr>
          <w:rFonts w:ascii="Garamond" w:hAnsi="Garamond"/>
          <w:sz w:val="22"/>
          <w:szCs w:val="22"/>
        </w:rPr>
        <w:instrText xml:space="preserve"> SEQ Figure \* ARABIC </w:instrText>
      </w:r>
      <w:r w:rsidRPr="00264556">
        <w:rPr>
          <w:rFonts w:ascii="Garamond" w:hAnsi="Garamond"/>
          <w:sz w:val="22"/>
          <w:szCs w:val="22"/>
        </w:rPr>
        <w:fldChar w:fldCharType="separate"/>
      </w:r>
      <w:r w:rsidR="00862183">
        <w:rPr>
          <w:rFonts w:ascii="Garamond" w:hAnsi="Garamond"/>
          <w:noProof/>
          <w:sz w:val="22"/>
          <w:szCs w:val="22"/>
        </w:rPr>
        <w:t>3</w:t>
      </w:r>
      <w:r w:rsidRPr="00264556">
        <w:rPr>
          <w:rFonts w:ascii="Garamond" w:hAnsi="Garamond"/>
          <w:sz w:val="22"/>
          <w:szCs w:val="22"/>
        </w:rPr>
        <w:fldChar w:fldCharType="end"/>
      </w:r>
      <w:r>
        <w:rPr>
          <w:rFonts w:ascii="Garamond" w:hAnsi="Garamond"/>
          <w:sz w:val="22"/>
          <w:szCs w:val="22"/>
        </w:rPr>
        <w:t xml:space="preserve"> </w:t>
      </w:r>
      <w:r w:rsidRPr="00264556">
        <w:rPr>
          <w:rFonts w:ascii="Garamond" w:hAnsi="Garamond"/>
          <w:sz w:val="22"/>
          <w:szCs w:val="22"/>
        </w:rPr>
        <w:t>Domestic Revenue and Foreign Aid</w:t>
      </w:r>
      <w:bookmarkEnd w:id="30"/>
    </w:p>
    <w:p w:rsidR="00B13461" w:rsidRPr="005A49D3" w:rsidRDefault="00B13461" w:rsidP="000615B8">
      <w:pPr>
        <w:jc w:val="center"/>
        <w:rPr>
          <w:rFonts w:ascii="Times New Roman" w:hAnsi="Times New Roman" w:cs="Times New Roman"/>
          <w:szCs w:val="22"/>
          <w:rtl/>
        </w:rPr>
      </w:pPr>
      <w:r w:rsidRPr="00E50B8E">
        <w:rPr>
          <w:rFonts w:cs="Times New Roman"/>
          <w:noProof/>
          <w:sz w:val="12"/>
          <w:szCs w:val="12"/>
        </w:rPr>
        <w:drawing>
          <wp:inline distT="0" distB="0" distL="0" distR="0" wp14:anchorId="1F030E47" wp14:editId="53478D0A">
            <wp:extent cx="5124450" cy="2305050"/>
            <wp:effectExtent l="0" t="0" r="19050" b="1905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B1D49" w:rsidRPr="005A49D3" w:rsidRDefault="000B1D49" w:rsidP="000B1D49">
      <w:pPr>
        <w:ind w:left="720"/>
        <w:rPr>
          <w:rFonts w:ascii="Times New Roman" w:hAnsi="Times New Roman" w:cs="Times New Roman"/>
          <w:szCs w:val="22"/>
        </w:rPr>
      </w:pPr>
    </w:p>
    <w:p w:rsidR="00B13461" w:rsidRDefault="00B13461" w:rsidP="000615B8">
      <w:pPr>
        <w:spacing w:line="275" w:lineRule="auto"/>
        <w:ind w:right="366"/>
        <w:jc w:val="both"/>
        <w:rPr>
          <w:rFonts w:eastAsia="Garamond"/>
          <w:szCs w:val="22"/>
        </w:rPr>
      </w:pPr>
      <w:r w:rsidRPr="000615B8">
        <w:rPr>
          <w:rFonts w:eastAsia="Garamond"/>
          <w:szCs w:val="22"/>
        </w:rPr>
        <w:t>The expenditures during the FY 1398 demonstrate about 3% decrease as compared to the FY 1397. However, the level of expenditures in the course of 1399, 1400 and 1401 demonstrate an increase of 1%, 3% and 4% respectively. As it’s observed, for FY 1398 the government has endeavored to lessen the level of expenditures, especially for the ordinary budget. These efforts will continue for the next year as well.</w:t>
      </w:r>
    </w:p>
    <w:p w:rsidR="005F2008" w:rsidRDefault="005F2008" w:rsidP="000615B8">
      <w:pPr>
        <w:spacing w:line="275" w:lineRule="auto"/>
        <w:ind w:right="366"/>
        <w:jc w:val="both"/>
        <w:rPr>
          <w:rFonts w:eastAsia="Garamond"/>
          <w:szCs w:val="22"/>
        </w:rPr>
      </w:pPr>
    </w:p>
    <w:p w:rsidR="005F2008" w:rsidRDefault="005F2008" w:rsidP="000615B8">
      <w:pPr>
        <w:spacing w:line="275" w:lineRule="auto"/>
        <w:ind w:right="366"/>
        <w:jc w:val="both"/>
        <w:rPr>
          <w:rFonts w:eastAsia="Garamond"/>
          <w:szCs w:val="22"/>
        </w:rPr>
      </w:pPr>
    </w:p>
    <w:p w:rsidR="00264556" w:rsidRPr="000615B8" w:rsidRDefault="00264556" w:rsidP="000615B8">
      <w:pPr>
        <w:spacing w:line="275" w:lineRule="auto"/>
        <w:ind w:right="366"/>
        <w:jc w:val="both"/>
        <w:rPr>
          <w:rFonts w:eastAsia="Garamond"/>
          <w:szCs w:val="22"/>
        </w:rPr>
      </w:pPr>
    </w:p>
    <w:p w:rsidR="00264556" w:rsidRPr="00264556" w:rsidRDefault="00264556" w:rsidP="00264556">
      <w:pPr>
        <w:pStyle w:val="Caption"/>
        <w:bidi w:val="0"/>
        <w:jc w:val="left"/>
        <w:rPr>
          <w:rFonts w:ascii="Garamond" w:hAnsi="Garamond"/>
          <w:sz w:val="22"/>
          <w:szCs w:val="22"/>
        </w:rPr>
      </w:pPr>
      <w:bookmarkStart w:id="31" w:name="_Toc535750369"/>
      <w:r w:rsidRPr="00264556">
        <w:rPr>
          <w:rFonts w:ascii="Garamond" w:hAnsi="Garamond"/>
          <w:sz w:val="22"/>
          <w:szCs w:val="22"/>
        </w:rPr>
        <w:lastRenderedPageBreak/>
        <w:t xml:space="preserve">Figure </w:t>
      </w:r>
      <w:r w:rsidRPr="00264556">
        <w:rPr>
          <w:rFonts w:ascii="Garamond" w:hAnsi="Garamond"/>
          <w:sz w:val="22"/>
          <w:szCs w:val="22"/>
        </w:rPr>
        <w:fldChar w:fldCharType="begin"/>
      </w:r>
      <w:r w:rsidRPr="00264556">
        <w:rPr>
          <w:rFonts w:ascii="Garamond" w:hAnsi="Garamond"/>
          <w:sz w:val="22"/>
          <w:szCs w:val="22"/>
        </w:rPr>
        <w:instrText xml:space="preserve"> SEQ Figure \* ARABIC </w:instrText>
      </w:r>
      <w:r w:rsidRPr="00264556">
        <w:rPr>
          <w:rFonts w:ascii="Garamond" w:hAnsi="Garamond"/>
          <w:sz w:val="22"/>
          <w:szCs w:val="22"/>
        </w:rPr>
        <w:fldChar w:fldCharType="separate"/>
      </w:r>
      <w:r w:rsidR="00862183">
        <w:rPr>
          <w:rFonts w:ascii="Garamond" w:hAnsi="Garamond"/>
          <w:noProof/>
          <w:sz w:val="22"/>
          <w:szCs w:val="22"/>
        </w:rPr>
        <w:t>4</w:t>
      </w:r>
      <w:r w:rsidRPr="00264556">
        <w:rPr>
          <w:rFonts w:ascii="Garamond" w:hAnsi="Garamond"/>
          <w:sz w:val="22"/>
          <w:szCs w:val="22"/>
        </w:rPr>
        <w:fldChar w:fldCharType="end"/>
      </w:r>
      <w:r>
        <w:rPr>
          <w:rFonts w:ascii="Garamond" w:hAnsi="Garamond"/>
          <w:sz w:val="22"/>
          <w:szCs w:val="22"/>
        </w:rPr>
        <w:t xml:space="preserve"> </w:t>
      </w:r>
      <w:r w:rsidRPr="00264556">
        <w:rPr>
          <w:rFonts w:ascii="Garamond" w:hAnsi="Garamond"/>
          <w:sz w:val="22"/>
          <w:szCs w:val="22"/>
        </w:rPr>
        <w:t>Expenditure and Revenue Pathway</w:t>
      </w:r>
      <w:bookmarkEnd w:id="31"/>
    </w:p>
    <w:p w:rsidR="00B13461" w:rsidRPr="005A49D3" w:rsidRDefault="00B13461" w:rsidP="00676981">
      <w:pPr>
        <w:jc w:val="center"/>
        <w:rPr>
          <w:rFonts w:ascii="Times New Roman" w:hAnsi="Times New Roman" w:cs="Times New Roman"/>
          <w:szCs w:val="22"/>
          <w:rtl/>
        </w:rPr>
      </w:pPr>
      <w:r w:rsidRPr="005A49D3">
        <w:rPr>
          <w:rFonts w:ascii="Times New Roman" w:hAnsi="Times New Roman" w:cs="Times New Roman"/>
          <w:noProof/>
          <w:szCs w:val="22"/>
        </w:rPr>
        <w:drawing>
          <wp:inline distT="0" distB="0" distL="0" distR="0" wp14:anchorId="7AFA8AE7" wp14:editId="78AFAAB0">
            <wp:extent cx="5086350" cy="2914650"/>
            <wp:effectExtent l="0" t="0" r="19050" b="1905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13461" w:rsidRPr="005A49D3" w:rsidRDefault="00B13461" w:rsidP="00B13461">
      <w:pPr>
        <w:rPr>
          <w:szCs w:val="22"/>
        </w:rPr>
      </w:pPr>
    </w:p>
    <w:p w:rsidR="000B1D49" w:rsidRPr="000615B8" w:rsidRDefault="000B1D49" w:rsidP="000615B8">
      <w:pPr>
        <w:spacing w:line="275" w:lineRule="auto"/>
        <w:ind w:right="366"/>
        <w:jc w:val="both"/>
        <w:rPr>
          <w:rFonts w:eastAsia="Garamond"/>
          <w:szCs w:val="22"/>
          <w:rtl/>
        </w:rPr>
      </w:pPr>
      <w:r w:rsidRPr="000615B8">
        <w:rPr>
          <w:rFonts w:eastAsia="Garamond"/>
          <w:szCs w:val="22"/>
        </w:rPr>
        <w:t xml:space="preserve">The forward estimates suggest that the fiscal gap has been growing with fiscal stress increasing annually as compared to the previous year. Its key factors are decrease in the level of donor commitment and increase in the expenditures. If the </w:t>
      </w:r>
      <w:r w:rsidR="0029450F" w:rsidRPr="000615B8">
        <w:rPr>
          <w:rFonts w:eastAsia="Garamond"/>
          <w:szCs w:val="22"/>
        </w:rPr>
        <w:t>situations continue</w:t>
      </w:r>
      <w:r w:rsidRPr="000615B8">
        <w:rPr>
          <w:rFonts w:eastAsia="Garamond"/>
          <w:szCs w:val="22"/>
        </w:rPr>
        <w:t xml:space="preserve"> as is, the budget deficit will build </w:t>
      </w:r>
      <w:r w:rsidR="0029450F">
        <w:rPr>
          <w:rFonts w:eastAsia="Garamond"/>
          <w:szCs w:val="22"/>
        </w:rPr>
        <w:t>up from AFN12.3 billion in FY1398 to AFN</w:t>
      </w:r>
      <w:r w:rsidRPr="000615B8">
        <w:rPr>
          <w:rFonts w:eastAsia="Garamond"/>
          <w:szCs w:val="22"/>
        </w:rPr>
        <w:t xml:space="preserve">76 billion in FY 1401. Recompensing this deficit will place the government into a hard condition as it will eventually adopt a set of preventive measures in the ground. These measures could be presented either in the form of economization concepts or revenue improving concepts, or a composition of both. </w:t>
      </w:r>
    </w:p>
    <w:p w:rsidR="000B1D49" w:rsidRPr="000615B8" w:rsidRDefault="000B1D49" w:rsidP="000615B8">
      <w:pPr>
        <w:spacing w:line="275" w:lineRule="auto"/>
        <w:ind w:right="366"/>
        <w:jc w:val="both"/>
        <w:rPr>
          <w:rFonts w:eastAsia="Garamond"/>
          <w:szCs w:val="22"/>
          <w:rtl/>
        </w:rPr>
      </w:pPr>
      <w:r w:rsidRPr="000615B8">
        <w:rPr>
          <w:rFonts w:eastAsia="Garamond"/>
          <w:szCs w:val="22"/>
        </w:rPr>
        <w:t>Economization in expenditures is an extremely sensitive issue, where different decisions could bring out relevant outcomes. For instance, if the government starts to make economization in the development area, it might impact the development programs and encounter hurdles on the way of the development process. However, implementation of certain projects through public private partnership could prove helpful to lessen the fiscal stress. On the other hand, economization in the ordinary area, if sufficient care is given to enhancing the efficiency of the matters related to operational affairs, could be a good option. This option could also prove helpful up to a certain extent, but cannot compensate the estimated deficit in full. On this account, it would be a dire necessity that the government shall provide revenue improving concepts.</w:t>
      </w:r>
    </w:p>
    <w:p w:rsidR="000B1D49" w:rsidRPr="000615B8" w:rsidRDefault="000B1D49" w:rsidP="000615B8">
      <w:pPr>
        <w:spacing w:line="275" w:lineRule="auto"/>
        <w:ind w:right="366"/>
        <w:jc w:val="both"/>
        <w:rPr>
          <w:rFonts w:eastAsia="Garamond"/>
          <w:szCs w:val="22"/>
        </w:rPr>
      </w:pPr>
      <w:r w:rsidRPr="000615B8">
        <w:rPr>
          <w:rFonts w:eastAsia="Garamond"/>
          <w:szCs w:val="22"/>
        </w:rPr>
        <w:t xml:space="preserve">Revenue improvement could be achieved through numerous approaches. First, more attention should be devoted to the set of efforts previously instigated towards the effective revenue collection so that this process is even more fortified and the tax evasion reaches its least possible point. Additionally, as a tool, the government could also utilize the concept of increasing custom tariffs on some imported items, or the concept of increasing taxes in areas which shall not have unpleasant impacts on the national economy of the country. In addition to this, encouraging the investments in the mining sector could also be one significant option to rise the government revenue. The government has allotted certain efforts in this area; thus, it’s presumed that the revenues in the mining sector including tax revenues and non-tax revenues increase up to FY 1401. Taking this into account, we will witness a better fiscal </w:t>
      </w:r>
      <w:r w:rsidRPr="000615B8">
        <w:rPr>
          <w:rFonts w:eastAsia="Garamond"/>
          <w:szCs w:val="22"/>
        </w:rPr>
        <w:lastRenderedPageBreak/>
        <w:t>condition in the case of realization of revenues of the mining sector and the value added tax in the years ahead.</w:t>
      </w:r>
    </w:p>
    <w:p w:rsidR="000B1D49" w:rsidRPr="005A49D3" w:rsidRDefault="000B1D49" w:rsidP="005F2008">
      <w:pPr>
        <w:pStyle w:val="Heading1"/>
        <w:rPr>
          <w:rFonts w:eastAsia="Corbel"/>
        </w:rPr>
      </w:pPr>
      <w:bookmarkStart w:id="32" w:name="_Toc535744265"/>
      <w:bookmarkStart w:id="33" w:name="_Toc535750194"/>
      <w:r w:rsidRPr="005A49D3">
        <w:rPr>
          <w:rFonts w:eastAsia="Corbel"/>
        </w:rPr>
        <w:t>Fiscal Framework and Budget Reform</w:t>
      </w:r>
      <w:bookmarkEnd w:id="32"/>
      <w:bookmarkEnd w:id="33"/>
    </w:p>
    <w:p w:rsidR="000B1D49" w:rsidRPr="005A49D3" w:rsidRDefault="000B1D49" w:rsidP="007F28DE">
      <w:pPr>
        <w:spacing w:line="276" w:lineRule="auto"/>
        <w:jc w:val="both"/>
        <w:rPr>
          <w:rFonts w:cs="B Zar"/>
          <w:szCs w:val="22"/>
          <w:rtl/>
          <w:lang w:bidi="prs-AF"/>
        </w:rPr>
      </w:pPr>
      <w:r w:rsidRPr="005A49D3">
        <w:rPr>
          <w:rFonts w:cs="B Zar"/>
          <w:szCs w:val="22"/>
          <w:lang w:bidi="prs-AF"/>
        </w:rPr>
        <w:t>In the process of corrective actions and implementation of some of reforms in past years, the layout of 1398 budget is made in order to maintain the level of past reforms and its continuity to improve financial affairs and public expenditures. These reforms result in transparency, improvement in accountability and more trust in national budget in order to consider the international standards. Despite all, this isn’t the end of the work, reforms and maintenance of these affairs is a matter of continuity and work should be done on reforms every year.</w:t>
      </w:r>
    </w:p>
    <w:p w:rsidR="000B1D49" w:rsidRDefault="000B1D49" w:rsidP="007F28DE">
      <w:pPr>
        <w:spacing w:line="276" w:lineRule="auto"/>
        <w:jc w:val="both"/>
        <w:rPr>
          <w:rFonts w:cs="B Zar"/>
          <w:szCs w:val="22"/>
          <w:lang w:bidi="ps-AF"/>
        </w:rPr>
      </w:pPr>
      <w:r w:rsidRPr="005A49D3">
        <w:rPr>
          <w:rFonts w:cs="B Zar"/>
          <w:szCs w:val="22"/>
          <w:lang w:bidi="ps-AF"/>
        </w:rPr>
        <w:t>According to the above discussion, in 1398 national budget document, along with the presence of operating and development budget, national budget is separately presented as well.</w:t>
      </w:r>
      <w:r w:rsidRPr="005A49D3">
        <w:rPr>
          <w:rFonts w:cs="B Zar"/>
          <w:szCs w:val="22"/>
          <w:rtl/>
          <w:lang w:bidi="prs-AF"/>
        </w:rPr>
        <w:t xml:space="preserve"> </w:t>
      </w:r>
      <w:r w:rsidRPr="005A49D3">
        <w:rPr>
          <w:rFonts w:cs="B Zar"/>
          <w:szCs w:val="22"/>
          <w:lang w:bidi="ps-AF"/>
        </w:rPr>
        <w:t>Besides that, presentation of budget according to economic classification, government jobs, programs, geographical position and its alignment with international standards is considered as well. Also, one of the</w:t>
      </w:r>
      <w:r w:rsidRPr="005A49D3">
        <w:rPr>
          <w:rFonts w:cs="B Zar"/>
          <w:szCs w:val="22"/>
          <w:rtl/>
          <w:lang w:bidi="prs-AF"/>
        </w:rPr>
        <w:t xml:space="preserve"> </w:t>
      </w:r>
      <w:r w:rsidRPr="005A49D3">
        <w:rPr>
          <w:rFonts w:cs="B Zar"/>
          <w:szCs w:val="22"/>
          <w:lang w:bidi="ps-AF"/>
        </w:rPr>
        <w:t>turning points about 1398 national budget is holding budget hearing meetings in an effective way that helped in preparing a more realistic budget document.</w:t>
      </w:r>
    </w:p>
    <w:p w:rsidR="000B1D49" w:rsidRPr="005A49D3" w:rsidRDefault="000B1D49" w:rsidP="005F2008">
      <w:pPr>
        <w:pStyle w:val="Heading2"/>
        <w:rPr>
          <w:rFonts w:eastAsia="Corbel"/>
        </w:rPr>
      </w:pPr>
      <w:bookmarkStart w:id="34" w:name="_Toc535744266"/>
      <w:bookmarkStart w:id="35" w:name="_Toc535750195"/>
      <w:r w:rsidRPr="005A49D3">
        <w:rPr>
          <w:rFonts w:eastAsia="Corbel"/>
        </w:rPr>
        <w:t>Medium-term expenditure framework and rolling forward estimates (1398-1401)</w:t>
      </w:r>
      <w:bookmarkEnd w:id="34"/>
      <w:bookmarkEnd w:id="35"/>
    </w:p>
    <w:p w:rsidR="000B1D49" w:rsidRPr="005A49D3" w:rsidRDefault="000B1D49" w:rsidP="007F28DE">
      <w:pPr>
        <w:spacing w:line="276" w:lineRule="auto"/>
        <w:jc w:val="both"/>
        <w:rPr>
          <w:szCs w:val="22"/>
          <w:lang w:bidi="ps-AF"/>
        </w:rPr>
      </w:pPr>
      <w:r w:rsidRPr="005A49D3">
        <w:rPr>
          <w:szCs w:val="22"/>
          <w:lang w:bidi="ps-AF"/>
        </w:rPr>
        <w:t>Rolling forward estimates of the medium-term expenditure framework of 1398 and its next 3 years has been arranged and presented in a realistic manner. The decrease in the amount of foreign aid and other effective factors forecasted during the preparation of the medium-term expenditure framework has been considered. Ultimately, it has tried to present the fiscal picture of coming years on the basis of facts and other effective factors on predictions of many years is presented in financial risks section which adds to the credibility of these predictions. It should be reminded that the process of preparing the medium-term expenditure framework and the predictions of many years will be reformed and improved in the coming years. Ministry of Finance intends to collect the budget figures from miner object code levels from every ministry and will implement the indicators in low level in order to improve the quality of these predictions. This method can present a clearer picture of financial situation in medium-term.</w:t>
      </w:r>
    </w:p>
    <w:p w:rsidR="000B1D49" w:rsidRPr="005A49D3" w:rsidRDefault="000B1D49" w:rsidP="005F2008">
      <w:pPr>
        <w:pStyle w:val="Heading2"/>
        <w:rPr>
          <w:rFonts w:eastAsia="Corbel"/>
        </w:rPr>
      </w:pPr>
      <w:bookmarkStart w:id="36" w:name="_Toc535744267"/>
      <w:bookmarkStart w:id="37" w:name="_Toc535750196"/>
      <w:r w:rsidRPr="005A49D3">
        <w:rPr>
          <w:rFonts w:eastAsia="Corbel"/>
        </w:rPr>
        <w:t xml:space="preserve">Transfer of </w:t>
      </w:r>
      <w:r w:rsidR="007F28DE" w:rsidRPr="005A49D3">
        <w:rPr>
          <w:rFonts w:eastAsia="Corbel"/>
        </w:rPr>
        <w:t>Fund from</w:t>
      </w:r>
      <w:r w:rsidRPr="005A49D3">
        <w:rPr>
          <w:rFonts w:eastAsia="Corbel"/>
        </w:rPr>
        <w:t xml:space="preserve"> contingency code to the relevant departments</w:t>
      </w:r>
      <w:bookmarkEnd w:id="36"/>
      <w:bookmarkEnd w:id="37"/>
    </w:p>
    <w:p w:rsidR="000B1D49" w:rsidRPr="005A49D3" w:rsidRDefault="000B1D49" w:rsidP="00676981">
      <w:pPr>
        <w:spacing w:line="276" w:lineRule="auto"/>
        <w:jc w:val="both"/>
        <w:rPr>
          <w:szCs w:val="22"/>
          <w:lang w:bidi="ps-AF"/>
        </w:rPr>
      </w:pPr>
      <w:r w:rsidRPr="005A49D3">
        <w:rPr>
          <w:szCs w:val="22"/>
          <w:lang w:bidi="ps-AF"/>
        </w:rPr>
        <w:t xml:space="preserve">One of the other important </w:t>
      </w:r>
      <w:r w:rsidR="00676981" w:rsidRPr="005A49D3">
        <w:rPr>
          <w:szCs w:val="22"/>
          <w:lang w:bidi="ps-AF"/>
        </w:rPr>
        <w:t>reforms</w:t>
      </w:r>
      <w:r w:rsidRPr="005A49D3">
        <w:rPr>
          <w:szCs w:val="22"/>
          <w:lang w:bidi="ps-AF"/>
        </w:rPr>
        <w:t xml:space="preserve"> is the transfer of funds from the contingency code to the relevant departments and this matter has occurred in this level for the first time. In 1398 fiscal year it has been tried that the contingency codes that have the ability to be identified and transferred are transferred to the relevant departments. In previous years the recorded funds under the contingency code due to different reasons such as implementation of some reforms, unreliability of its expense on the decided goals, unspecified amount of expense in a section or relevant department and many alike situations used to take place, these problems has been solved in the se</w:t>
      </w:r>
      <w:r w:rsidR="00676981">
        <w:rPr>
          <w:szCs w:val="22"/>
          <w:lang w:bidi="ps-AF"/>
        </w:rPr>
        <w:t>c</w:t>
      </w:r>
      <w:r w:rsidRPr="005A49D3">
        <w:rPr>
          <w:szCs w:val="22"/>
          <w:lang w:bidi="ps-AF"/>
        </w:rPr>
        <w:t>tion of the contingency code that has been transferred to the departments.</w:t>
      </w:r>
    </w:p>
    <w:p w:rsidR="000B1D49" w:rsidRPr="005A49D3" w:rsidRDefault="000B1D49" w:rsidP="005F2008">
      <w:pPr>
        <w:pStyle w:val="Heading2"/>
        <w:rPr>
          <w:rFonts w:eastAsia="Corbel"/>
        </w:rPr>
      </w:pPr>
      <w:bookmarkStart w:id="38" w:name="_Toc535744268"/>
      <w:bookmarkStart w:id="39" w:name="_Toc535750197"/>
      <w:r w:rsidRPr="005A49D3">
        <w:rPr>
          <w:rFonts w:eastAsia="Corbel"/>
        </w:rPr>
        <w:t xml:space="preserve">Change </w:t>
      </w:r>
      <w:r w:rsidR="0077163B" w:rsidRPr="005A49D3">
        <w:rPr>
          <w:rFonts w:eastAsia="Corbel"/>
        </w:rPr>
        <w:t>in the Structure of the Sectors</w:t>
      </w:r>
      <w:bookmarkEnd w:id="38"/>
      <w:bookmarkEnd w:id="39"/>
    </w:p>
    <w:p w:rsidR="000B1D49" w:rsidRDefault="000B1D49" w:rsidP="00676981">
      <w:pPr>
        <w:spacing w:line="276" w:lineRule="auto"/>
        <w:jc w:val="both"/>
        <w:rPr>
          <w:szCs w:val="22"/>
          <w:rtl/>
          <w:lang w:bidi="ps-AF"/>
        </w:rPr>
      </w:pPr>
      <w:r w:rsidRPr="005A49D3">
        <w:rPr>
          <w:szCs w:val="22"/>
          <w:lang w:bidi="ps-AF"/>
        </w:rPr>
        <w:t xml:space="preserve">Another section of the reforms is the change in the structure of the sectors of the general directorate of budget. This structure was previously prepared by Afghanistan’s National Development Strategy and is now designed based on Classification of Functions of Government </w:t>
      </w:r>
      <w:r w:rsidRPr="005A49D3">
        <w:rPr>
          <w:szCs w:val="22"/>
          <w:lang w:bidi="ps-AF"/>
        </w:rPr>
        <w:lastRenderedPageBreak/>
        <w:t>(COFOG). Structure of government functions is designed in inspiration by the Government Financial Statistics (GFS) but in no way means that it presents the functions of government because the arrangement of financial information according to government functions is still based on GFS standards and in the mentioned structure the names of these functions is considered. The purpose of this change is to better address the budget affairs of the departments. On the other hand the functions of the government is related to the structure of the government and changes in this seems far in the long-term, that’s why this matter will cause stability of the financial system.</w:t>
      </w:r>
    </w:p>
    <w:p w:rsidR="00264556" w:rsidRPr="00264556" w:rsidRDefault="00264556" w:rsidP="00264556">
      <w:pPr>
        <w:pStyle w:val="Caption"/>
        <w:bidi w:val="0"/>
        <w:jc w:val="left"/>
        <w:rPr>
          <w:rFonts w:ascii="Garamond" w:hAnsi="Garamond"/>
          <w:sz w:val="22"/>
          <w:szCs w:val="22"/>
          <w:rtl/>
          <w:lang w:bidi="ps-AF"/>
        </w:rPr>
      </w:pPr>
      <w:bookmarkStart w:id="40" w:name="_Toc535750264"/>
      <w:r w:rsidRPr="00264556">
        <w:rPr>
          <w:rFonts w:ascii="Garamond" w:hAnsi="Garamond"/>
          <w:sz w:val="22"/>
          <w:szCs w:val="22"/>
        </w:rPr>
        <w:t xml:space="preserve">Table </w:t>
      </w:r>
      <w:r w:rsidRPr="00264556">
        <w:rPr>
          <w:rFonts w:ascii="Garamond" w:hAnsi="Garamond"/>
          <w:sz w:val="22"/>
          <w:szCs w:val="22"/>
        </w:rPr>
        <w:fldChar w:fldCharType="begin"/>
      </w:r>
      <w:r w:rsidRPr="00264556">
        <w:rPr>
          <w:rFonts w:ascii="Garamond" w:hAnsi="Garamond"/>
          <w:sz w:val="22"/>
          <w:szCs w:val="22"/>
        </w:rPr>
        <w:instrText xml:space="preserve"> SEQ Table \* ARABIC </w:instrText>
      </w:r>
      <w:r w:rsidRPr="00264556">
        <w:rPr>
          <w:rFonts w:ascii="Garamond" w:hAnsi="Garamond"/>
          <w:sz w:val="22"/>
          <w:szCs w:val="22"/>
        </w:rPr>
        <w:fldChar w:fldCharType="separate"/>
      </w:r>
      <w:r w:rsidR="00862183">
        <w:rPr>
          <w:rFonts w:ascii="Garamond" w:hAnsi="Garamond"/>
          <w:noProof/>
          <w:sz w:val="22"/>
          <w:szCs w:val="22"/>
        </w:rPr>
        <w:t>3</w:t>
      </w:r>
      <w:r w:rsidRPr="00264556">
        <w:rPr>
          <w:rFonts w:ascii="Garamond" w:hAnsi="Garamond"/>
          <w:sz w:val="22"/>
          <w:szCs w:val="22"/>
        </w:rPr>
        <w:fldChar w:fldCharType="end"/>
      </w:r>
      <w:r>
        <w:rPr>
          <w:rFonts w:ascii="Garamond" w:hAnsi="Garamond"/>
          <w:sz w:val="22"/>
          <w:szCs w:val="22"/>
        </w:rPr>
        <w:t xml:space="preserve"> </w:t>
      </w:r>
      <w:r w:rsidRPr="00264556">
        <w:rPr>
          <w:rFonts w:ascii="Garamond" w:hAnsi="Garamond"/>
          <w:sz w:val="22"/>
          <w:szCs w:val="22"/>
        </w:rPr>
        <w:t>Structure of the sectors according to the government functions</w:t>
      </w:r>
      <w:bookmarkEnd w:id="40"/>
    </w:p>
    <w:tbl>
      <w:tblPr>
        <w:tblW w:w="4820" w:type="pct"/>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168"/>
        <w:gridCol w:w="5047"/>
      </w:tblGrid>
      <w:tr w:rsidR="000B1D49" w:rsidRPr="005A49D3" w:rsidTr="0029450F">
        <w:trPr>
          <w:trHeight w:val="390"/>
          <w:tblHeader/>
          <w:jc w:val="center"/>
        </w:trPr>
        <w:tc>
          <w:tcPr>
            <w:tcW w:w="1928" w:type="pct"/>
            <w:shd w:val="clear" w:color="auto" w:fill="DDEBF7"/>
            <w:noWrap/>
            <w:vAlign w:val="bottom"/>
            <w:hideMark/>
          </w:tcPr>
          <w:p w:rsidR="000B1D49" w:rsidRPr="005A49D3" w:rsidRDefault="000B1D49" w:rsidP="00EA09AE">
            <w:pPr>
              <w:jc w:val="center"/>
              <w:rPr>
                <w:rFonts w:eastAsia="Times New Roman"/>
                <w:b/>
                <w:bCs/>
                <w:szCs w:val="22"/>
              </w:rPr>
            </w:pPr>
            <w:r w:rsidRPr="005A49D3">
              <w:rPr>
                <w:rFonts w:eastAsia="Times New Roman"/>
                <w:b/>
                <w:bCs/>
                <w:szCs w:val="22"/>
              </w:rPr>
              <w:t>Sectors</w:t>
            </w:r>
          </w:p>
        </w:tc>
        <w:tc>
          <w:tcPr>
            <w:tcW w:w="3072" w:type="pct"/>
            <w:shd w:val="clear" w:color="auto" w:fill="DDEBF7"/>
            <w:noWrap/>
            <w:vAlign w:val="bottom"/>
            <w:hideMark/>
          </w:tcPr>
          <w:p w:rsidR="000B1D49" w:rsidRPr="005A49D3" w:rsidRDefault="000B1D49" w:rsidP="00EA09AE">
            <w:pPr>
              <w:rPr>
                <w:rFonts w:eastAsia="Times New Roman"/>
                <w:b/>
                <w:bCs/>
                <w:szCs w:val="22"/>
                <w:rtl/>
              </w:rPr>
            </w:pPr>
            <w:r w:rsidRPr="005A49D3">
              <w:rPr>
                <w:rFonts w:eastAsia="Times New Roman" w:hint="cs"/>
                <w:b/>
                <w:bCs/>
                <w:szCs w:val="22"/>
                <w:rtl/>
              </w:rPr>
              <w:t xml:space="preserve"> </w:t>
            </w:r>
            <w:r w:rsidRPr="005A49D3">
              <w:rPr>
                <w:rFonts w:eastAsia="Times New Roman"/>
                <w:b/>
                <w:bCs/>
                <w:szCs w:val="22"/>
              </w:rPr>
              <w:t xml:space="preserve">Budgetary Units </w:t>
            </w:r>
          </w:p>
        </w:tc>
      </w:tr>
      <w:tr w:rsidR="000B1D49" w:rsidRPr="005A49D3" w:rsidTr="0029450F">
        <w:trPr>
          <w:trHeight w:val="405"/>
          <w:jc w:val="center"/>
        </w:trPr>
        <w:tc>
          <w:tcPr>
            <w:tcW w:w="1928" w:type="pct"/>
            <w:shd w:val="clear" w:color="000000" w:fill="D6DCE4"/>
            <w:noWrap/>
            <w:vAlign w:val="bottom"/>
            <w:hideMark/>
          </w:tcPr>
          <w:p w:rsidR="000B1D49" w:rsidRPr="005A49D3" w:rsidRDefault="000B1D49" w:rsidP="00873EC3">
            <w:pPr>
              <w:pStyle w:val="ListParagraph"/>
              <w:numPr>
                <w:ilvl w:val="0"/>
                <w:numId w:val="4"/>
              </w:numPr>
              <w:rPr>
                <w:rFonts w:eastAsia="Times New Roman"/>
                <w:b/>
                <w:bCs/>
                <w:szCs w:val="22"/>
                <w:rtl/>
              </w:rPr>
            </w:pPr>
            <w:r w:rsidRPr="005A49D3">
              <w:rPr>
                <w:rFonts w:eastAsia="Times New Roman"/>
                <w:b/>
                <w:bCs/>
                <w:szCs w:val="22"/>
              </w:rPr>
              <w:t>Governance and Public Services</w:t>
            </w:r>
          </w:p>
        </w:tc>
        <w:tc>
          <w:tcPr>
            <w:tcW w:w="3072" w:type="pct"/>
            <w:shd w:val="clear" w:color="000000" w:fill="D6DCE4"/>
            <w:noWrap/>
            <w:vAlign w:val="bottom"/>
            <w:hideMark/>
          </w:tcPr>
          <w:p w:rsidR="000B1D49" w:rsidRPr="005A49D3" w:rsidRDefault="000B1D49" w:rsidP="00EA09AE">
            <w:pPr>
              <w:jc w:val="center"/>
              <w:rPr>
                <w:rFonts w:eastAsia="Times New Roman"/>
                <w:szCs w:val="22"/>
                <w:rtl/>
              </w:rPr>
            </w:pPr>
            <w:r w:rsidRPr="005A49D3">
              <w:rPr>
                <w:rFonts w:eastAsia="Times New Roman" w:hint="cs"/>
                <w:szCs w:val="22"/>
              </w:rPr>
              <w:t> </w:t>
            </w:r>
          </w:p>
        </w:tc>
      </w:tr>
      <w:tr w:rsidR="000B1D49" w:rsidRPr="005A49D3" w:rsidTr="0029450F">
        <w:trPr>
          <w:trHeight w:val="405"/>
          <w:jc w:val="center"/>
        </w:trPr>
        <w:tc>
          <w:tcPr>
            <w:tcW w:w="1928" w:type="pct"/>
            <w:shd w:val="clear" w:color="000000" w:fill="FFFFFF"/>
            <w:noWrap/>
            <w:vAlign w:val="bottom"/>
            <w:hideMark/>
          </w:tcPr>
          <w:p w:rsidR="000B1D49" w:rsidRPr="005A49D3" w:rsidRDefault="000B1D49" w:rsidP="00EA09AE">
            <w:pPr>
              <w:jc w:val="center"/>
              <w:rPr>
                <w:rFonts w:ascii="Calibri Light" w:eastAsia="Times New Roman" w:hAnsi="Calibri Light" w:cs="Calibri Light"/>
                <w:szCs w:val="22"/>
              </w:rPr>
            </w:pPr>
            <w:r w:rsidRPr="005A49D3">
              <w:rPr>
                <w:rFonts w:ascii="Calibri Light" w:eastAsia="Times New Roman" w:hAnsi="Calibri Light" w:cs="Calibri Light"/>
                <w:szCs w:val="22"/>
              </w:rPr>
              <w:t>10</w:t>
            </w:r>
          </w:p>
        </w:tc>
        <w:tc>
          <w:tcPr>
            <w:tcW w:w="3072" w:type="pct"/>
            <w:shd w:val="clear" w:color="auto" w:fill="auto"/>
            <w:noWrap/>
            <w:vAlign w:val="bottom"/>
          </w:tcPr>
          <w:p w:rsidR="000B1D49" w:rsidRPr="005A49D3" w:rsidRDefault="000B1D49" w:rsidP="00EA09AE">
            <w:pPr>
              <w:rPr>
                <w:rFonts w:eastAsia="Times New Roman"/>
                <w:szCs w:val="22"/>
              </w:rPr>
            </w:pPr>
            <w:r w:rsidRPr="005A49D3">
              <w:rPr>
                <w:rFonts w:eastAsia="Times New Roman"/>
                <w:szCs w:val="22"/>
              </w:rPr>
              <w:t>Office of the Chief of Staff to the President</w:t>
            </w:r>
          </w:p>
        </w:tc>
      </w:tr>
      <w:tr w:rsidR="000B1D49" w:rsidRPr="005A49D3" w:rsidTr="0029450F">
        <w:trPr>
          <w:trHeight w:val="405"/>
          <w:jc w:val="center"/>
        </w:trPr>
        <w:tc>
          <w:tcPr>
            <w:tcW w:w="1928" w:type="pct"/>
            <w:shd w:val="clear" w:color="000000" w:fill="FFFFFF"/>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13</w:t>
            </w:r>
          </w:p>
        </w:tc>
        <w:tc>
          <w:tcPr>
            <w:tcW w:w="3072" w:type="pct"/>
            <w:shd w:val="clear" w:color="auto" w:fill="auto"/>
            <w:noWrap/>
            <w:vAlign w:val="bottom"/>
          </w:tcPr>
          <w:p w:rsidR="000B1D49" w:rsidRPr="005A49D3" w:rsidRDefault="000B1D49" w:rsidP="00EA09AE">
            <w:pPr>
              <w:rPr>
                <w:rFonts w:eastAsia="Times New Roman"/>
                <w:szCs w:val="22"/>
              </w:rPr>
            </w:pPr>
            <w:r w:rsidRPr="005A49D3">
              <w:rPr>
                <w:rFonts w:eastAsia="Times New Roman"/>
                <w:szCs w:val="22"/>
              </w:rPr>
              <w:t>Administrative Office of the President</w:t>
            </w:r>
          </w:p>
        </w:tc>
      </w:tr>
      <w:tr w:rsidR="000B1D49" w:rsidRPr="005A49D3" w:rsidTr="0029450F">
        <w:trPr>
          <w:trHeight w:val="405"/>
          <w:jc w:val="center"/>
        </w:trPr>
        <w:tc>
          <w:tcPr>
            <w:tcW w:w="1928" w:type="pct"/>
            <w:shd w:val="clear" w:color="000000" w:fill="FFFFFF"/>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21</w:t>
            </w:r>
          </w:p>
        </w:tc>
        <w:tc>
          <w:tcPr>
            <w:tcW w:w="3072" w:type="pct"/>
            <w:shd w:val="clear" w:color="auto" w:fill="auto"/>
            <w:noWrap/>
            <w:vAlign w:val="bottom"/>
          </w:tcPr>
          <w:p w:rsidR="000B1D49" w:rsidRPr="005A49D3" w:rsidRDefault="000B1D49" w:rsidP="00EA09AE">
            <w:pPr>
              <w:rPr>
                <w:rFonts w:eastAsia="Times New Roman"/>
                <w:szCs w:val="22"/>
              </w:rPr>
            </w:pPr>
            <w:r w:rsidRPr="005A49D3">
              <w:rPr>
                <w:rFonts w:eastAsia="Times New Roman"/>
                <w:szCs w:val="22"/>
              </w:rPr>
              <w:t>Ministry of State and Parliamentary Affairs</w:t>
            </w:r>
          </w:p>
        </w:tc>
      </w:tr>
      <w:tr w:rsidR="000B1D49" w:rsidRPr="005A49D3" w:rsidTr="0029450F">
        <w:trPr>
          <w:trHeight w:val="405"/>
          <w:jc w:val="center"/>
        </w:trPr>
        <w:tc>
          <w:tcPr>
            <w:tcW w:w="1928" w:type="pct"/>
            <w:shd w:val="clear" w:color="000000" w:fill="FFFFFF"/>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23</w:t>
            </w:r>
          </w:p>
        </w:tc>
        <w:tc>
          <w:tcPr>
            <w:tcW w:w="3072" w:type="pct"/>
            <w:shd w:val="clear" w:color="auto" w:fill="auto"/>
            <w:noWrap/>
            <w:vAlign w:val="bottom"/>
          </w:tcPr>
          <w:p w:rsidR="000B1D49" w:rsidRPr="005A49D3" w:rsidRDefault="000B1D49" w:rsidP="00EA09AE">
            <w:pPr>
              <w:rPr>
                <w:rFonts w:eastAsia="Times New Roman"/>
                <w:szCs w:val="22"/>
              </w:rPr>
            </w:pPr>
            <w:r w:rsidRPr="005A49D3">
              <w:rPr>
                <w:rFonts w:eastAsia="Times New Roman"/>
                <w:szCs w:val="22"/>
              </w:rPr>
              <w:t>Ministry of Foreign Affairs</w:t>
            </w:r>
          </w:p>
        </w:tc>
      </w:tr>
      <w:tr w:rsidR="000B1D49" w:rsidRPr="005A49D3" w:rsidTr="0029450F">
        <w:trPr>
          <w:trHeight w:val="390"/>
          <w:jc w:val="center"/>
        </w:trPr>
        <w:tc>
          <w:tcPr>
            <w:tcW w:w="1928" w:type="pct"/>
            <w:shd w:val="clear" w:color="000000" w:fill="FFFFFF"/>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62</w:t>
            </w:r>
          </w:p>
        </w:tc>
        <w:tc>
          <w:tcPr>
            <w:tcW w:w="3072" w:type="pct"/>
            <w:shd w:val="clear" w:color="auto" w:fill="auto"/>
            <w:noWrap/>
            <w:vAlign w:val="bottom"/>
          </w:tcPr>
          <w:p w:rsidR="000B1D49" w:rsidRPr="005A49D3" w:rsidRDefault="000B1D49" w:rsidP="00EA09AE">
            <w:pPr>
              <w:rPr>
                <w:rFonts w:eastAsia="Times New Roman"/>
                <w:szCs w:val="22"/>
              </w:rPr>
            </w:pPr>
            <w:r w:rsidRPr="005A49D3">
              <w:rPr>
                <w:rFonts w:eastAsia="Times New Roman"/>
                <w:szCs w:val="22"/>
              </w:rPr>
              <w:t>Independent Administrative Reforms and Civil Service</w:t>
            </w:r>
          </w:p>
        </w:tc>
      </w:tr>
      <w:tr w:rsidR="000B1D49" w:rsidRPr="005A49D3" w:rsidTr="0029450F">
        <w:trPr>
          <w:trHeight w:val="390"/>
          <w:jc w:val="center"/>
        </w:trPr>
        <w:tc>
          <w:tcPr>
            <w:tcW w:w="1928" w:type="pct"/>
            <w:shd w:val="clear" w:color="000000" w:fill="FFFFFF"/>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88</w:t>
            </w:r>
          </w:p>
        </w:tc>
        <w:tc>
          <w:tcPr>
            <w:tcW w:w="3072" w:type="pct"/>
            <w:shd w:val="clear" w:color="auto" w:fill="auto"/>
            <w:noWrap/>
            <w:vAlign w:val="bottom"/>
            <w:hideMark/>
          </w:tcPr>
          <w:p w:rsidR="000B1D49" w:rsidRPr="005A49D3" w:rsidRDefault="000B1D49" w:rsidP="00EA09AE">
            <w:pPr>
              <w:spacing w:before="240"/>
              <w:rPr>
                <w:rFonts w:eastAsia="Times New Roman"/>
                <w:szCs w:val="22"/>
              </w:rPr>
            </w:pPr>
            <w:r w:rsidRPr="005A49D3">
              <w:rPr>
                <w:rFonts w:eastAsia="Times New Roman"/>
                <w:szCs w:val="22"/>
              </w:rPr>
              <w:t xml:space="preserve">Executive Directorate and Secretariat of Ministers Council </w:t>
            </w:r>
          </w:p>
        </w:tc>
      </w:tr>
      <w:tr w:rsidR="000B1D49" w:rsidRPr="005A49D3" w:rsidTr="0029450F">
        <w:trPr>
          <w:trHeight w:val="390"/>
          <w:jc w:val="center"/>
        </w:trPr>
        <w:tc>
          <w:tcPr>
            <w:tcW w:w="1928" w:type="pct"/>
            <w:shd w:val="clear" w:color="000000" w:fill="FFFFFF"/>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11</w:t>
            </w:r>
          </w:p>
        </w:tc>
        <w:tc>
          <w:tcPr>
            <w:tcW w:w="3072" w:type="pct"/>
            <w:shd w:val="clear" w:color="auto" w:fill="auto"/>
            <w:noWrap/>
            <w:vAlign w:val="bottom"/>
          </w:tcPr>
          <w:p w:rsidR="000B1D49" w:rsidRPr="005A49D3" w:rsidRDefault="000B1D49" w:rsidP="00EA09AE">
            <w:pPr>
              <w:rPr>
                <w:rFonts w:eastAsia="Times New Roman"/>
                <w:szCs w:val="22"/>
              </w:rPr>
            </w:pPr>
            <w:r w:rsidRPr="005A49D3">
              <w:rPr>
                <w:rFonts w:eastAsia="Times New Roman"/>
                <w:szCs w:val="22"/>
              </w:rPr>
              <w:t>Meshrano Jirga</w:t>
            </w:r>
          </w:p>
        </w:tc>
      </w:tr>
      <w:tr w:rsidR="000B1D49" w:rsidRPr="005A49D3" w:rsidTr="0029450F">
        <w:trPr>
          <w:trHeight w:val="390"/>
          <w:jc w:val="center"/>
        </w:trPr>
        <w:tc>
          <w:tcPr>
            <w:tcW w:w="1928" w:type="pct"/>
            <w:shd w:val="clear" w:color="000000" w:fill="FFFFFF"/>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12</w:t>
            </w:r>
          </w:p>
        </w:tc>
        <w:tc>
          <w:tcPr>
            <w:tcW w:w="3072" w:type="pct"/>
            <w:shd w:val="clear" w:color="auto" w:fill="auto"/>
            <w:noWrap/>
            <w:vAlign w:val="bottom"/>
            <w:hideMark/>
          </w:tcPr>
          <w:p w:rsidR="000B1D49" w:rsidRPr="005A49D3" w:rsidRDefault="000B1D49" w:rsidP="00EA09AE">
            <w:pPr>
              <w:rPr>
                <w:rFonts w:eastAsia="Times New Roman"/>
                <w:szCs w:val="22"/>
              </w:rPr>
            </w:pPr>
            <w:r w:rsidRPr="005A49D3">
              <w:rPr>
                <w:rFonts w:eastAsia="Times New Roman"/>
                <w:szCs w:val="22"/>
              </w:rPr>
              <w:t>Wolesi Jirga</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59</w:t>
            </w:r>
          </w:p>
        </w:tc>
        <w:tc>
          <w:tcPr>
            <w:tcW w:w="3072" w:type="pct"/>
            <w:shd w:val="clear" w:color="000000" w:fill="FFFFFF"/>
            <w:noWrap/>
            <w:vAlign w:val="bottom"/>
            <w:hideMark/>
          </w:tcPr>
          <w:p w:rsidR="000B1D49" w:rsidRPr="005A49D3" w:rsidRDefault="000B1D49" w:rsidP="00EA09AE">
            <w:pPr>
              <w:rPr>
                <w:rFonts w:eastAsia="Times New Roman"/>
                <w:szCs w:val="22"/>
              </w:rPr>
            </w:pPr>
            <w:r w:rsidRPr="005A49D3">
              <w:rPr>
                <w:rFonts w:eastAsia="Times New Roman"/>
                <w:szCs w:val="22"/>
              </w:rPr>
              <w:t>Independent Directorate of Local Governance</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72</w:t>
            </w:r>
          </w:p>
        </w:tc>
        <w:tc>
          <w:tcPr>
            <w:tcW w:w="3072" w:type="pct"/>
            <w:shd w:val="clear" w:color="000000" w:fill="FFFFFF"/>
            <w:noWrap/>
            <w:vAlign w:val="bottom"/>
            <w:hideMark/>
          </w:tcPr>
          <w:p w:rsidR="000B1D49" w:rsidRPr="005A49D3" w:rsidRDefault="000B1D49" w:rsidP="00EA09AE">
            <w:pPr>
              <w:rPr>
                <w:rFonts w:eastAsia="Times New Roman"/>
                <w:szCs w:val="22"/>
              </w:rPr>
            </w:pPr>
            <w:r w:rsidRPr="005A49D3">
              <w:rPr>
                <w:rFonts w:eastAsia="Times New Roman"/>
                <w:szCs w:val="22"/>
              </w:rPr>
              <w:t>Independent Election Commission</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71</w:t>
            </w:r>
          </w:p>
        </w:tc>
        <w:tc>
          <w:tcPr>
            <w:tcW w:w="3072" w:type="pct"/>
            <w:shd w:val="clear" w:color="000000" w:fill="FFFFFF"/>
            <w:noWrap/>
            <w:vAlign w:val="bottom"/>
          </w:tcPr>
          <w:p w:rsidR="000B1D49" w:rsidRPr="005A49D3" w:rsidRDefault="000B1D49" w:rsidP="00EA09AE">
            <w:pPr>
              <w:rPr>
                <w:rFonts w:eastAsia="Times New Roman"/>
                <w:szCs w:val="22"/>
              </w:rPr>
            </w:pPr>
            <w:r w:rsidRPr="005A49D3">
              <w:rPr>
                <w:rFonts w:eastAsia="Times New Roman"/>
                <w:szCs w:val="22"/>
              </w:rPr>
              <w:t>Independent Electoral Complain Commission</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85</w:t>
            </w:r>
          </w:p>
        </w:tc>
        <w:tc>
          <w:tcPr>
            <w:tcW w:w="3072" w:type="pct"/>
            <w:shd w:val="clear" w:color="000000" w:fill="FFFFFF"/>
            <w:noWrap/>
            <w:vAlign w:val="bottom"/>
          </w:tcPr>
          <w:p w:rsidR="000B1D49" w:rsidRPr="005A49D3" w:rsidRDefault="000B1D49" w:rsidP="00EA09AE">
            <w:pPr>
              <w:rPr>
                <w:rFonts w:eastAsia="Times New Roman"/>
                <w:szCs w:val="22"/>
              </w:rPr>
            </w:pPr>
            <w:r w:rsidRPr="005A49D3">
              <w:rPr>
                <w:rFonts w:eastAsia="Times New Roman"/>
                <w:szCs w:val="22"/>
              </w:rPr>
              <w:t>Independent Commission for Overseeing the Implementation of Constitution</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50</w:t>
            </w:r>
          </w:p>
        </w:tc>
        <w:tc>
          <w:tcPr>
            <w:tcW w:w="3072" w:type="pct"/>
            <w:shd w:val="clear" w:color="auto" w:fill="auto"/>
            <w:noWrap/>
            <w:vAlign w:val="bottom"/>
          </w:tcPr>
          <w:p w:rsidR="000B1D49" w:rsidRPr="005A49D3" w:rsidRDefault="000B1D49" w:rsidP="00EA09AE">
            <w:pPr>
              <w:rPr>
                <w:rFonts w:eastAsia="Times New Roman"/>
                <w:szCs w:val="22"/>
              </w:rPr>
            </w:pPr>
            <w:r w:rsidRPr="005A49D3">
              <w:rPr>
                <w:rFonts w:eastAsia="Times New Roman"/>
                <w:szCs w:val="22"/>
              </w:rPr>
              <w:t>Ministry of Justice</w:t>
            </w:r>
          </w:p>
        </w:tc>
      </w:tr>
      <w:tr w:rsidR="000B1D49" w:rsidRPr="005A49D3" w:rsidTr="0029450F">
        <w:trPr>
          <w:trHeight w:val="405"/>
          <w:jc w:val="center"/>
        </w:trPr>
        <w:tc>
          <w:tcPr>
            <w:tcW w:w="1928" w:type="pct"/>
            <w:shd w:val="clear" w:color="000000" w:fill="D6DCE4"/>
            <w:noWrap/>
            <w:vAlign w:val="bottom"/>
            <w:hideMark/>
          </w:tcPr>
          <w:p w:rsidR="000B1D49" w:rsidRPr="005A49D3" w:rsidRDefault="000B1D49" w:rsidP="00873EC3">
            <w:pPr>
              <w:pStyle w:val="ListParagraph"/>
              <w:numPr>
                <w:ilvl w:val="0"/>
                <w:numId w:val="4"/>
              </w:numPr>
              <w:rPr>
                <w:rFonts w:eastAsia="Times New Roman"/>
                <w:b/>
                <w:bCs/>
                <w:szCs w:val="22"/>
                <w:rtl/>
              </w:rPr>
            </w:pPr>
            <w:r w:rsidRPr="005A49D3">
              <w:rPr>
                <w:rFonts w:eastAsia="Times New Roman"/>
                <w:b/>
                <w:bCs/>
                <w:szCs w:val="22"/>
              </w:rPr>
              <w:t xml:space="preserve">National </w:t>
            </w:r>
            <w:r w:rsidR="00981E78" w:rsidRPr="005A49D3">
              <w:rPr>
                <w:rFonts w:eastAsia="Times New Roman"/>
                <w:b/>
                <w:bCs/>
                <w:szCs w:val="22"/>
              </w:rPr>
              <w:t>Defense</w:t>
            </w:r>
            <w:r w:rsidRPr="005A49D3">
              <w:rPr>
                <w:rFonts w:eastAsia="Times New Roman"/>
                <w:b/>
                <w:bCs/>
                <w:szCs w:val="22"/>
              </w:rPr>
              <w:t xml:space="preserve"> and Security</w:t>
            </w:r>
          </w:p>
        </w:tc>
        <w:tc>
          <w:tcPr>
            <w:tcW w:w="3072" w:type="pct"/>
            <w:shd w:val="clear" w:color="000000" w:fill="D6DCE4"/>
            <w:noWrap/>
            <w:vAlign w:val="bottom"/>
            <w:hideMark/>
          </w:tcPr>
          <w:p w:rsidR="000B1D49" w:rsidRPr="005A49D3" w:rsidRDefault="000B1D49" w:rsidP="00EA09AE">
            <w:pPr>
              <w:jc w:val="center"/>
              <w:rPr>
                <w:rFonts w:eastAsia="Times New Roman"/>
                <w:szCs w:val="22"/>
                <w:rtl/>
              </w:rPr>
            </w:pPr>
            <w:r w:rsidRPr="005A49D3">
              <w:rPr>
                <w:rFonts w:eastAsia="Times New Roman" w:hint="cs"/>
                <w:szCs w:val="22"/>
              </w:rPr>
              <w:t> </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Pr>
            </w:pPr>
            <w:r w:rsidRPr="005A49D3">
              <w:rPr>
                <w:rFonts w:ascii="Calibri Light" w:eastAsia="Times New Roman" w:hAnsi="Calibri Light" w:cs="Calibri Light"/>
                <w:szCs w:val="22"/>
              </w:rPr>
              <w:t>15</w:t>
            </w:r>
          </w:p>
        </w:tc>
        <w:tc>
          <w:tcPr>
            <w:tcW w:w="3072" w:type="pct"/>
            <w:shd w:val="clear" w:color="auto" w:fill="auto"/>
            <w:noWrap/>
            <w:vAlign w:val="bottom"/>
            <w:hideMark/>
          </w:tcPr>
          <w:p w:rsidR="000B1D49" w:rsidRPr="005A49D3" w:rsidRDefault="000B1D49" w:rsidP="00EA09AE">
            <w:pPr>
              <w:rPr>
                <w:rFonts w:eastAsia="Times New Roman"/>
                <w:szCs w:val="22"/>
              </w:rPr>
            </w:pPr>
            <w:r w:rsidRPr="005A49D3">
              <w:rPr>
                <w:rFonts w:eastAsia="Times New Roman"/>
                <w:szCs w:val="22"/>
              </w:rPr>
              <w:t>Presidential Protective Service</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64</w:t>
            </w:r>
          </w:p>
        </w:tc>
        <w:tc>
          <w:tcPr>
            <w:tcW w:w="3072" w:type="pct"/>
            <w:shd w:val="clear" w:color="auto" w:fill="auto"/>
            <w:noWrap/>
            <w:vAlign w:val="bottom"/>
          </w:tcPr>
          <w:p w:rsidR="000B1D49" w:rsidRPr="005A49D3" w:rsidRDefault="000B1D49" w:rsidP="00EA09AE">
            <w:pPr>
              <w:rPr>
                <w:rFonts w:eastAsia="Times New Roman"/>
                <w:szCs w:val="22"/>
              </w:rPr>
            </w:pPr>
            <w:r w:rsidRPr="005A49D3">
              <w:rPr>
                <w:rFonts w:eastAsia="Times New Roman"/>
                <w:szCs w:val="22"/>
              </w:rPr>
              <w:t>General Directorate of National Security</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22</w:t>
            </w:r>
          </w:p>
        </w:tc>
        <w:tc>
          <w:tcPr>
            <w:tcW w:w="3072" w:type="pct"/>
            <w:shd w:val="clear" w:color="auto" w:fill="auto"/>
            <w:noWrap/>
            <w:vAlign w:val="bottom"/>
            <w:hideMark/>
          </w:tcPr>
          <w:p w:rsidR="000B1D49" w:rsidRPr="005A49D3" w:rsidRDefault="000B1D49" w:rsidP="00EA09AE">
            <w:pPr>
              <w:rPr>
                <w:rFonts w:eastAsia="Times New Roman"/>
                <w:szCs w:val="22"/>
              </w:rPr>
            </w:pPr>
            <w:r w:rsidRPr="005A49D3">
              <w:rPr>
                <w:rFonts w:eastAsia="Times New Roman"/>
                <w:szCs w:val="22"/>
              </w:rPr>
              <w:t>Ministry of Defence</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17</w:t>
            </w:r>
          </w:p>
        </w:tc>
        <w:tc>
          <w:tcPr>
            <w:tcW w:w="3072" w:type="pct"/>
            <w:shd w:val="clear" w:color="auto" w:fill="auto"/>
            <w:noWrap/>
            <w:vAlign w:val="bottom"/>
            <w:hideMark/>
          </w:tcPr>
          <w:p w:rsidR="000B1D49" w:rsidRPr="005A49D3" w:rsidRDefault="000B1D49" w:rsidP="00EA09AE">
            <w:pPr>
              <w:rPr>
                <w:rFonts w:eastAsia="Times New Roman"/>
                <w:szCs w:val="22"/>
              </w:rPr>
            </w:pPr>
            <w:r w:rsidRPr="005A49D3">
              <w:rPr>
                <w:rFonts w:eastAsia="Times New Roman"/>
                <w:szCs w:val="22"/>
              </w:rPr>
              <w:t>National Security Council</w:t>
            </w:r>
          </w:p>
        </w:tc>
      </w:tr>
      <w:tr w:rsidR="000B1D49" w:rsidRPr="005A49D3" w:rsidTr="0029450F">
        <w:trPr>
          <w:trHeight w:val="405"/>
          <w:jc w:val="center"/>
        </w:trPr>
        <w:tc>
          <w:tcPr>
            <w:tcW w:w="1928" w:type="pct"/>
            <w:shd w:val="clear" w:color="000000" w:fill="D6DCE4"/>
            <w:noWrap/>
            <w:vAlign w:val="bottom"/>
            <w:hideMark/>
          </w:tcPr>
          <w:p w:rsidR="000B1D49" w:rsidRPr="005A49D3" w:rsidRDefault="000B1D49" w:rsidP="00873EC3">
            <w:pPr>
              <w:pStyle w:val="ListParagraph"/>
              <w:numPr>
                <w:ilvl w:val="0"/>
                <w:numId w:val="4"/>
              </w:numPr>
              <w:rPr>
                <w:rFonts w:eastAsia="Times New Roman"/>
                <w:b/>
                <w:bCs/>
                <w:szCs w:val="22"/>
                <w:rtl/>
              </w:rPr>
            </w:pPr>
            <w:r w:rsidRPr="005A49D3">
              <w:rPr>
                <w:rFonts w:eastAsia="Times New Roman"/>
                <w:b/>
                <w:bCs/>
                <w:szCs w:val="22"/>
              </w:rPr>
              <w:t>Public Order and Safety</w:t>
            </w:r>
          </w:p>
        </w:tc>
        <w:tc>
          <w:tcPr>
            <w:tcW w:w="3072" w:type="pct"/>
            <w:shd w:val="clear" w:color="000000" w:fill="D6DCE4"/>
            <w:noWrap/>
            <w:vAlign w:val="bottom"/>
            <w:hideMark/>
          </w:tcPr>
          <w:p w:rsidR="000B1D49" w:rsidRPr="005A49D3" w:rsidRDefault="000B1D49" w:rsidP="00EA09AE">
            <w:pPr>
              <w:jc w:val="center"/>
              <w:rPr>
                <w:rFonts w:eastAsia="Times New Roman"/>
                <w:szCs w:val="22"/>
                <w:rtl/>
              </w:rPr>
            </w:pPr>
            <w:r w:rsidRPr="005A49D3">
              <w:rPr>
                <w:rFonts w:eastAsia="Times New Roman" w:hint="cs"/>
                <w:szCs w:val="22"/>
              </w:rPr>
              <w:t> </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Pr>
            </w:pPr>
            <w:r w:rsidRPr="005A49D3">
              <w:rPr>
                <w:rFonts w:ascii="Calibri Light" w:eastAsia="Times New Roman" w:hAnsi="Calibri Light" w:cs="Calibri Light"/>
                <w:szCs w:val="22"/>
              </w:rPr>
              <w:t>26</w:t>
            </w:r>
          </w:p>
        </w:tc>
        <w:tc>
          <w:tcPr>
            <w:tcW w:w="3072" w:type="pct"/>
            <w:shd w:val="clear" w:color="auto" w:fill="auto"/>
            <w:noWrap/>
            <w:vAlign w:val="bottom"/>
          </w:tcPr>
          <w:p w:rsidR="000B1D49" w:rsidRPr="005A49D3" w:rsidRDefault="000B1D49" w:rsidP="00EA09AE">
            <w:pPr>
              <w:rPr>
                <w:rFonts w:eastAsia="Times New Roman"/>
                <w:szCs w:val="22"/>
              </w:rPr>
            </w:pPr>
            <w:r w:rsidRPr="005A49D3">
              <w:rPr>
                <w:rFonts w:eastAsia="Times New Roman"/>
                <w:szCs w:val="22"/>
              </w:rPr>
              <w:t>Ministry of Interior Affairs</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51</w:t>
            </w:r>
          </w:p>
        </w:tc>
        <w:tc>
          <w:tcPr>
            <w:tcW w:w="3072" w:type="pct"/>
            <w:shd w:val="clear" w:color="auto" w:fill="auto"/>
            <w:noWrap/>
            <w:vAlign w:val="bottom"/>
            <w:hideMark/>
          </w:tcPr>
          <w:p w:rsidR="000B1D49" w:rsidRPr="005A49D3" w:rsidRDefault="000B1D49" w:rsidP="00EA09AE">
            <w:pPr>
              <w:rPr>
                <w:rFonts w:eastAsia="Times New Roman" w:cs="Calibri"/>
                <w:szCs w:val="22"/>
              </w:rPr>
            </w:pPr>
            <w:r w:rsidRPr="005A49D3">
              <w:rPr>
                <w:rFonts w:eastAsia="Times New Roman" w:cs="Calibri"/>
                <w:szCs w:val="22"/>
              </w:rPr>
              <w:t>Attorney General Office</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14</w:t>
            </w:r>
          </w:p>
        </w:tc>
        <w:tc>
          <w:tcPr>
            <w:tcW w:w="3072" w:type="pct"/>
            <w:shd w:val="clear" w:color="auto" w:fill="auto"/>
            <w:noWrap/>
            <w:vAlign w:val="bottom"/>
          </w:tcPr>
          <w:p w:rsidR="000B1D49" w:rsidRPr="005A49D3" w:rsidRDefault="000B1D49" w:rsidP="00EA09AE">
            <w:pPr>
              <w:rPr>
                <w:rFonts w:eastAsia="Times New Roman"/>
                <w:szCs w:val="22"/>
              </w:rPr>
            </w:pPr>
            <w:r w:rsidRPr="005A49D3">
              <w:rPr>
                <w:rFonts w:eastAsia="Times New Roman"/>
                <w:szCs w:val="22"/>
              </w:rPr>
              <w:t>Supreme Court</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31</w:t>
            </w:r>
          </w:p>
        </w:tc>
        <w:tc>
          <w:tcPr>
            <w:tcW w:w="3072" w:type="pct"/>
            <w:shd w:val="clear" w:color="auto" w:fill="auto"/>
            <w:noWrap/>
            <w:vAlign w:val="bottom"/>
          </w:tcPr>
          <w:p w:rsidR="000B1D49" w:rsidRPr="005A49D3" w:rsidRDefault="000B1D49" w:rsidP="00EA09AE">
            <w:pPr>
              <w:rPr>
                <w:rFonts w:eastAsia="Times New Roman"/>
                <w:szCs w:val="22"/>
              </w:rPr>
            </w:pPr>
            <w:r w:rsidRPr="005A49D3">
              <w:rPr>
                <w:rFonts w:eastAsia="Times New Roman"/>
                <w:szCs w:val="22"/>
              </w:rPr>
              <w:t xml:space="preserve">Afghanistan Central Civil Registration Authority </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lastRenderedPageBreak/>
              <w:t>48</w:t>
            </w:r>
          </w:p>
        </w:tc>
        <w:tc>
          <w:tcPr>
            <w:tcW w:w="3072" w:type="pct"/>
            <w:shd w:val="clear" w:color="auto" w:fill="auto"/>
            <w:noWrap/>
            <w:vAlign w:val="bottom"/>
          </w:tcPr>
          <w:p w:rsidR="000B1D49" w:rsidRPr="005A49D3" w:rsidRDefault="000B1D49" w:rsidP="00EA09AE">
            <w:pPr>
              <w:rPr>
                <w:rFonts w:eastAsia="Times New Roman"/>
                <w:szCs w:val="22"/>
              </w:rPr>
            </w:pPr>
            <w:r w:rsidRPr="005A49D3">
              <w:rPr>
                <w:rFonts w:eastAsia="Times New Roman"/>
                <w:szCs w:val="22"/>
              </w:rPr>
              <w:t>Ministry of Counter Narcotics</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68</w:t>
            </w:r>
          </w:p>
        </w:tc>
        <w:tc>
          <w:tcPr>
            <w:tcW w:w="3072" w:type="pct"/>
            <w:shd w:val="clear" w:color="auto" w:fill="auto"/>
            <w:noWrap/>
            <w:vAlign w:val="bottom"/>
            <w:hideMark/>
          </w:tcPr>
          <w:p w:rsidR="000B1D49" w:rsidRPr="005A49D3" w:rsidRDefault="000B1D49" w:rsidP="00EA09AE">
            <w:pPr>
              <w:rPr>
                <w:rFonts w:eastAsia="Times New Roman"/>
                <w:szCs w:val="22"/>
              </w:rPr>
            </w:pPr>
            <w:r w:rsidRPr="005A49D3">
              <w:rPr>
                <w:rFonts w:eastAsia="Times New Roman"/>
                <w:szCs w:val="22"/>
              </w:rPr>
              <w:t>Afghanistan National Disaster Management Authority</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86</w:t>
            </w:r>
          </w:p>
        </w:tc>
        <w:tc>
          <w:tcPr>
            <w:tcW w:w="3072" w:type="pct"/>
            <w:shd w:val="clear" w:color="auto" w:fill="auto"/>
            <w:noWrap/>
            <w:vAlign w:val="bottom"/>
            <w:hideMark/>
          </w:tcPr>
          <w:p w:rsidR="000B1D49" w:rsidRPr="005A49D3" w:rsidRDefault="000B1D49" w:rsidP="00EA09AE">
            <w:pPr>
              <w:rPr>
                <w:rFonts w:eastAsia="Times New Roman"/>
                <w:szCs w:val="22"/>
              </w:rPr>
            </w:pPr>
            <w:r w:rsidRPr="005A49D3">
              <w:rPr>
                <w:rFonts w:eastAsia="Times New Roman"/>
                <w:szCs w:val="22"/>
              </w:rPr>
              <w:t>Afghanistan Independent Human Rights Commission</w:t>
            </w:r>
          </w:p>
        </w:tc>
      </w:tr>
      <w:tr w:rsidR="000B1D49" w:rsidRPr="005A49D3" w:rsidTr="0029450F">
        <w:trPr>
          <w:trHeight w:val="405"/>
          <w:jc w:val="center"/>
        </w:trPr>
        <w:tc>
          <w:tcPr>
            <w:tcW w:w="1928" w:type="pct"/>
            <w:shd w:val="clear" w:color="000000" w:fill="D6DCE4"/>
            <w:noWrap/>
            <w:vAlign w:val="bottom"/>
            <w:hideMark/>
          </w:tcPr>
          <w:p w:rsidR="000B1D49" w:rsidRPr="005A49D3" w:rsidRDefault="00981E78" w:rsidP="00873EC3">
            <w:pPr>
              <w:pStyle w:val="ListParagraph"/>
              <w:numPr>
                <w:ilvl w:val="0"/>
                <w:numId w:val="4"/>
              </w:numPr>
              <w:rPr>
                <w:rFonts w:eastAsia="Times New Roman"/>
                <w:b/>
                <w:bCs/>
                <w:szCs w:val="22"/>
                <w:rtl/>
              </w:rPr>
            </w:pPr>
            <w:r w:rsidRPr="005A49D3">
              <w:rPr>
                <w:rFonts w:eastAsia="Times New Roman"/>
                <w:b/>
                <w:bCs/>
                <w:szCs w:val="22"/>
              </w:rPr>
              <w:t>Agriculture and Economic</w:t>
            </w:r>
            <w:r w:rsidR="000B1D49" w:rsidRPr="005A49D3">
              <w:rPr>
                <w:rFonts w:eastAsia="Times New Roman"/>
                <w:b/>
                <w:bCs/>
                <w:szCs w:val="22"/>
              </w:rPr>
              <w:t xml:space="preserve"> Affairs</w:t>
            </w:r>
          </w:p>
        </w:tc>
        <w:tc>
          <w:tcPr>
            <w:tcW w:w="3072" w:type="pct"/>
            <w:shd w:val="clear" w:color="000000" w:fill="D6DCE4"/>
            <w:noWrap/>
            <w:vAlign w:val="bottom"/>
            <w:hideMark/>
          </w:tcPr>
          <w:p w:rsidR="000B1D49" w:rsidRPr="005A49D3" w:rsidRDefault="000B1D49" w:rsidP="00EA09AE">
            <w:pPr>
              <w:jc w:val="center"/>
              <w:rPr>
                <w:rFonts w:eastAsia="Times New Roman"/>
                <w:szCs w:val="22"/>
                <w:rtl/>
              </w:rPr>
            </w:pPr>
            <w:r w:rsidRPr="005A49D3">
              <w:rPr>
                <w:rFonts w:eastAsia="Times New Roman" w:hint="cs"/>
                <w:szCs w:val="22"/>
              </w:rPr>
              <w:t> </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Pr>
            </w:pPr>
            <w:r w:rsidRPr="005A49D3">
              <w:rPr>
                <w:rFonts w:ascii="Calibri Light" w:eastAsia="Times New Roman" w:hAnsi="Calibri Light" w:cs="Calibri Light"/>
                <w:szCs w:val="22"/>
              </w:rPr>
              <w:t>35</w:t>
            </w:r>
          </w:p>
        </w:tc>
        <w:tc>
          <w:tcPr>
            <w:tcW w:w="3072" w:type="pct"/>
            <w:shd w:val="clear" w:color="auto" w:fill="auto"/>
            <w:noWrap/>
            <w:vAlign w:val="bottom"/>
          </w:tcPr>
          <w:p w:rsidR="000B1D49" w:rsidRPr="005A49D3" w:rsidRDefault="000B1D49" w:rsidP="00EA09AE">
            <w:pPr>
              <w:rPr>
                <w:rFonts w:cs="Calibri"/>
                <w:color w:val="000000"/>
                <w:szCs w:val="22"/>
              </w:rPr>
            </w:pPr>
            <w:r w:rsidRPr="005A49D3">
              <w:rPr>
                <w:rFonts w:cs="Calibri"/>
                <w:color w:val="000000"/>
                <w:szCs w:val="22"/>
              </w:rPr>
              <w:t>Ministry of Economy</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39</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Ministry of Agriculture, Irrigation &amp; Livestock</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25</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Ministry of Commerce and Industry</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58</w:t>
            </w:r>
          </w:p>
        </w:tc>
        <w:tc>
          <w:tcPr>
            <w:tcW w:w="3072" w:type="pct"/>
            <w:shd w:val="clear" w:color="000000" w:fill="FFFFFF"/>
            <w:noWrap/>
            <w:vAlign w:val="bottom"/>
            <w:hideMark/>
          </w:tcPr>
          <w:p w:rsidR="000B1D49" w:rsidRPr="005A49D3" w:rsidRDefault="000B1D49" w:rsidP="00EA09AE">
            <w:pPr>
              <w:rPr>
                <w:rFonts w:cs="Calibri"/>
                <w:color w:val="000000"/>
                <w:szCs w:val="22"/>
              </w:rPr>
            </w:pPr>
            <w:r w:rsidRPr="005A49D3">
              <w:rPr>
                <w:rFonts w:cs="Calibri"/>
                <w:color w:val="000000"/>
                <w:szCs w:val="22"/>
              </w:rPr>
              <w:t>Afghanistan National Standard Authority</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20</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Ministry of Finance</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66</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 xml:space="preserve">Supreme and Audit office </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73</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Central Statistics organization</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81</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 xml:space="preserve">Micro Finance Investment Support Facility for Afghanistan </w:t>
            </w:r>
          </w:p>
        </w:tc>
      </w:tr>
      <w:tr w:rsidR="000B1D49" w:rsidRPr="005A49D3" w:rsidTr="0029450F">
        <w:trPr>
          <w:trHeight w:val="405"/>
          <w:jc w:val="center"/>
        </w:trPr>
        <w:tc>
          <w:tcPr>
            <w:tcW w:w="1928" w:type="pct"/>
            <w:shd w:val="clear" w:color="000000" w:fill="D6DCE4"/>
            <w:noWrap/>
            <w:vAlign w:val="bottom"/>
            <w:hideMark/>
          </w:tcPr>
          <w:p w:rsidR="000B1D49" w:rsidRPr="005A49D3" w:rsidRDefault="005160AF" w:rsidP="00873EC3">
            <w:pPr>
              <w:pStyle w:val="ListParagraph"/>
              <w:numPr>
                <w:ilvl w:val="0"/>
                <w:numId w:val="4"/>
              </w:numPr>
              <w:rPr>
                <w:rFonts w:eastAsia="Times New Roman"/>
                <w:b/>
                <w:bCs/>
                <w:szCs w:val="22"/>
                <w:rtl/>
              </w:rPr>
            </w:pPr>
            <w:r w:rsidRPr="005A49D3">
              <w:rPr>
                <w:rFonts w:eastAsia="Times New Roman"/>
                <w:b/>
                <w:bCs/>
                <w:szCs w:val="22"/>
              </w:rPr>
              <w:t>Energy and Mining</w:t>
            </w:r>
          </w:p>
        </w:tc>
        <w:tc>
          <w:tcPr>
            <w:tcW w:w="3072" w:type="pct"/>
            <w:shd w:val="clear" w:color="000000" w:fill="D6DCE4"/>
            <w:noWrap/>
            <w:vAlign w:val="bottom"/>
            <w:hideMark/>
          </w:tcPr>
          <w:p w:rsidR="000B1D49" w:rsidRPr="005A49D3" w:rsidRDefault="000B1D49" w:rsidP="00EA09AE">
            <w:pPr>
              <w:jc w:val="center"/>
              <w:rPr>
                <w:rFonts w:eastAsia="Times New Roman"/>
                <w:szCs w:val="22"/>
                <w:rtl/>
              </w:rPr>
            </w:pPr>
            <w:r w:rsidRPr="005A49D3">
              <w:rPr>
                <w:rFonts w:eastAsia="Times New Roman" w:hint="cs"/>
                <w:szCs w:val="22"/>
              </w:rPr>
              <w:t> </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Pr>
            </w:pPr>
            <w:r w:rsidRPr="005A49D3">
              <w:rPr>
                <w:rFonts w:ascii="Calibri Light" w:eastAsia="Times New Roman" w:hAnsi="Calibri Light" w:cs="Calibri Light"/>
                <w:szCs w:val="22"/>
              </w:rPr>
              <w:t>32</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Ministry of Mines and Petroleum</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41</w:t>
            </w:r>
          </w:p>
        </w:tc>
        <w:tc>
          <w:tcPr>
            <w:tcW w:w="3072" w:type="pct"/>
            <w:shd w:val="clear" w:color="000000" w:fill="FFFFFF"/>
            <w:noWrap/>
            <w:vAlign w:val="bottom"/>
            <w:hideMark/>
          </w:tcPr>
          <w:p w:rsidR="000B1D49" w:rsidRPr="005A49D3" w:rsidRDefault="000B1D49" w:rsidP="00EA09AE">
            <w:pPr>
              <w:rPr>
                <w:rFonts w:cs="Calibri"/>
                <w:color w:val="000000"/>
                <w:szCs w:val="22"/>
              </w:rPr>
            </w:pPr>
            <w:r w:rsidRPr="005A49D3">
              <w:rPr>
                <w:rFonts w:cs="Calibri"/>
                <w:color w:val="000000"/>
                <w:szCs w:val="22"/>
              </w:rPr>
              <w:t>Ministry of Energy and Water</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83</w:t>
            </w:r>
          </w:p>
        </w:tc>
        <w:tc>
          <w:tcPr>
            <w:tcW w:w="3072" w:type="pct"/>
            <w:shd w:val="clear" w:color="000000" w:fill="FFFFFF"/>
            <w:noWrap/>
            <w:vAlign w:val="bottom"/>
            <w:hideMark/>
          </w:tcPr>
          <w:p w:rsidR="000B1D49" w:rsidRPr="005A49D3" w:rsidRDefault="000B1D49" w:rsidP="00EA09AE">
            <w:pPr>
              <w:rPr>
                <w:rFonts w:cs="Calibri"/>
                <w:color w:val="000000"/>
                <w:szCs w:val="22"/>
              </w:rPr>
            </w:pPr>
            <w:r w:rsidRPr="005A49D3">
              <w:rPr>
                <w:rFonts w:cs="Calibri"/>
                <w:color w:val="000000"/>
                <w:szCs w:val="22"/>
              </w:rPr>
              <w:t>Da Afghanistan Brishna Shirkat</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75</w:t>
            </w:r>
          </w:p>
        </w:tc>
        <w:tc>
          <w:tcPr>
            <w:tcW w:w="3072" w:type="pct"/>
            <w:shd w:val="clear" w:color="000000" w:fill="FFFFFF"/>
            <w:noWrap/>
            <w:vAlign w:val="bottom"/>
            <w:hideMark/>
          </w:tcPr>
          <w:p w:rsidR="000B1D49" w:rsidRPr="005A49D3" w:rsidRDefault="000B1D49" w:rsidP="00EA09AE">
            <w:pPr>
              <w:rPr>
                <w:rFonts w:cs="Calibri"/>
                <w:color w:val="000000"/>
                <w:szCs w:val="22"/>
              </w:rPr>
            </w:pPr>
            <w:r w:rsidRPr="005A49D3">
              <w:rPr>
                <w:rFonts w:cs="Calibri"/>
                <w:color w:val="000000"/>
                <w:szCs w:val="22"/>
              </w:rPr>
              <w:t xml:space="preserve">Afghanistan Atomic Energy </w:t>
            </w:r>
            <w:r w:rsidRPr="005A49D3">
              <w:rPr>
                <w:rFonts w:cs="Calibri"/>
                <w:color w:val="000000"/>
                <w:szCs w:val="22"/>
              </w:rPr>
              <w:br/>
              <w:t>Commission</w:t>
            </w:r>
          </w:p>
        </w:tc>
      </w:tr>
      <w:tr w:rsidR="000B1D49" w:rsidRPr="005A49D3" w:rsidTr="0029450F">
        <w:trPr>
          <w:trHeight w:val="405"/>
          <w:jc w:val="center"/>
        </w:trPr>
        <w:tc>
          <w:tcPr>
            <w:tcW w:w="1928" w:type="pct"/>
            <w:shd w:val="clear" w:color="000000" w:fill="D6DCE4"/>
            <w:noWrap/>
            <w:vAlign w:val="bottom"/>
            <w:hideMark/>
          </w:tcPr>
          <w:p w:rsidR="000B1D49" w:rsidRPr="005A49D3" w:rsidRDefault="000B1D49" w:rsidP="00873EC3">
            <w:pPr>
              <w:pStyle w:val="ListParagraph"/>
              <w:numPr>
                <w:ilvl w:val="0"/>
                <w:numId w:val="4"/>
              </w:numPr>
              <w:rPr>
                <w:rFonts w:eastAsia="Times New Roman"/>
                <w:b/>
                <w:bCs/>
                <w:szCs w:val="22"/>
                <w:rtl/>
              </w:rPr>
            </w:pPr>
            <w:r w:rsidRPr="005A49D3">
              <w:rPr>
                <w:rFonts w:eastAsia="Times New Roman"/>
                <w:b/>
                <w:bCs/>
                <w:szCs w:val="22"/>
              </w:rPr>
              <w:t>Transport and Communication</w:t>
            </w:r>
          </w:p>
        </w:tc>
        <w:tc>
          <w:tcPr>
            <w:tcW w:w="3072" w:type="pct"/>
            <w:shd w:val="clear" w:color="000000" w:fill="D6DCE4"/>
            <w:noWrap/>
            <w:vAlign w:val="bottom"/>
            <w:hideMark/>
          </w:tcPr>
          <w:p w:rsidR="000B1D49" w:rsidRPr="005A49D3" w:rsidRDefault="000B1D49" w:rsidP="00EA09AE">
            <w:pPr>
              <w:jc w:val="center"/>
              <w:rPr>
                <w:rFonts w:eastAsia="Times New Roman"/>
                <w:szCs w:val="22"/>
                <w:rtl/>
              </w:rPr>
            </w:pPr>
            <w:r w:rsidRPr="005A49D3">
              <w:rPr>
                <w:rFonts w:eastAsia="Times New Roman" w:hint="cs"/>
                <w:szCs w:val="22"/>
              </w:rPr>
              <w:t> </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Pr>
            </w:pPr>
            <w:r w:rsidRPr="005A49D3">
              <w:rPr>
                <w:rFonts w:ascii="Calibri Light" w:eastAsia="Times New Roman" w:hAnsi="Calibri Light" w:cs="Calibri Light"/>
                <w:szCs w:val="22"/>
              </w:rPr>
              <w:t>34</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 xml:space="preserve">Ministry of Communication   and Information Technology            </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89</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Afghanistan Railway Authority</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44</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Civil Aviation Authority</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42</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Ministry of Public Works</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45</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 xml:space="preserve">Ministry of Transport </w:t>
            </w:r>
          </w:p>
        </w:tc>
      </w:tr>
      <w:tr w:rsidR="000B1D49" w:rsidRPr="005A49D3" w:rsidTr="0029450F">
        <w:trPr>
          <w:trHeight w:val="405"/>
          <w:jc w:val="center"/>
        </w:trPr>
        <w:tc>
          <w:tcPr>
            <w:tcW w:w="1928" w:type="pct"/>
            <w:shd w:val="clear" w:color="000000" w:fill="D6DCE4"/>
            <w:noWrap/>
            <w:vAlign w:val="bottom"/>
            <w:hideMark/>
          </w:tcPr>
          <w:p w:rsidR="000B1D49" w:rsidRPr="005A49D3" w:rsidRDefault="005160AF" w:rsidP="00873EC3">
            <w:pPr>
              <w:pStyle w:val="ListParagraph"/>
              <w:numPr>
                <w:ilvl w:val="0"/>
                <w:numId w:val="4"/>
              </w:numPr>
              <w:rPr>
                <w:rFonts w:eastAsia="Times New Roman"/>
                <w:b/>
                <w:bCs/>
                <w:szCs w:val="22"/>
                <w:rtl/>
              </w:rPr>
            </w:pPr>
            <w:r w:rsidRPr="005A49D3">
              <w:rPr>
                <w:rFonts w:eastAsia="Times New Roman"/>
                <w:b/>
                <w:bCs/>
                <w:szCs w:val="22"/>
              </w:rPr>
              <w:t>Housing and Community A</w:t>
            </w:r>
            <w:r w:rsidR="000B1D49" w:rsidRPr="005A49D3">
              <w:rPr>
                <w:rFonts w:eastAsia="Times New Roman"/>
                <w:b/>
                <w:bCs/>
                <w:szCs w:val="22"/>
              </w:rPr>
              <w:t>menities</w:t>
            </w:r>
          </w:p>
        </w:tc>
        <w:tc>
          <w:tcPr>
            <w:tcW w:w="3072" w:type="pct"/>
            <w:shd w:val="clear" w:color="000000" w:fill="D6DCE4"/>
            <w:noWrap/>
            <w:vAlign w:val="bottom"/>
            <w:hideMark/>
          </w:tcPr>
          <w:p w:rsidR="000B1D49" w:rsidRPr="005A49D3" w:rsidRDefault="000B1D49" w:rsidP="00EA09AE">
            <w:pPr>
              <w:jc w:val="center"/>
              <w:rPr>
                <w:rFonts w:eastAsia="Times New Roman"/>
                <w:szCs w:val="22"/>
                <w:rtl/>
              </w:rPr>
            </w:pPr>
            <w:r w:rsidRPr="005A49D3">
              <w:rPr>
                <w:rFonts w:eastAsia="Times New Roman" w:hint="cs"/>
                <w:szCs w:val="22"/>
              </w:rPr>
              <w:t> </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Pr>
            </w:pPr>
            <w:r w:rsidRPr="005A49D3">
              <w:rPr>
                <w:rFonts w:ascii="Calibri Light" w:eastAsia="Times New Roman" w:hAnsi="Calibri Light" w:cs="Calibri Light"/>
                <w:szCs w:val="22"/>
              </w:rPr>
              <w:t>79</w:t>
            </w:r>
          </w:p>
        </w:tc>
        <w:tc>
          <w:tcPr>
            <w:tcW w:w="3072" w:type="pct"/>
            <w:shd w:val="clear" w:color="000000" w:fill="FFFFFF"/>
            <w:noWrap/>
            <w:vAlign w:val="bottom"/>
            <w:hideMark/>
          </w:tcPr>
          <w:p w:rsidR="000B1D49" w:rsidRPr="005A49D3" w:rsidRDefault="000B1D49" w:rsidP="00EA09AE">
            <w:pPr>
              <w:rPr>
                <w:rFonts w:cs="Calibri"/>
                <w:color w:val="000000"/>
                <w:szCs w:val="22"/>
              </w:rPr>
            </w:pPr>
            <w:r w:rsidRPr="005A49D3">
              <w:rPr>
                <w:rFonts w:cs="Calibri"/>
                <w:color w:val="000000"/>
                <w:szCs w:val="22"/>
              </w:rPr>
              <w:t xml:space="preserve">Kabul Municipality </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84</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Capital Region Independent Development Authority</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49</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Ministry of Urban development and Housing</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82</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 xml:space="preserve"> Urban Water Supply and Canalization Corporation  </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43</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 xml:space="preserve">Ministry of Rural Rehabilitation and Development   </w:t>
            </w:r>
          </w:p>
        </w:tc>
      </w:tr>
      <w:tr w:rsidR="000B1D49" w:rsidRPr="005A49D3" w:rsidTr="0029450F">
        <w:trPr>
          <w:trHeight w:val="405"/>
          <w:jc w:val="center"/>
        </w:trPr>
        <w:tc>
          <w:tcPr>
            <w:tcW w:w="1928" w:type="pct"/>
            <w:shd w:val="clear" w:color="000000" w:fill="D6DCE4"/>
            <w:noWrap/>
            <w:vAlign w:val="bottom"/>
            <w:hideMark/>
          </w:tcPr>
          <w:p w:rsidR="000B1D49" w:rsidRPr="005A49D3" w:rsidRDefault="000B1D49" w:rsidP="00873EC3">
            <w:pPr>
              <w:pStyle w:val="ListParagraph"/>
              <w:numPr>
                <w:ilvl w:val="0"/>
                <w:numId w:val="4"/>
              </w:numPr>
              <w:rPr>
                <w:rFonts w:eastAsia="Times New Roman"/>
                <w:b/>
                <w:bCs/>
                <w:szCs w:val="22"/>
                <w:rtl/>
              </w:rPr>
            </w:pPr>
            <w:r w:rsidRPr="005A49D3">
              <w:rPr>
                <w:rFonts w:eastAsia="Times New Roman"/>
                <w:b/>
                <w:bCs/>
                <w:szCs w:val="22"/>
              </w:rPr>
              <w:t>Health</w:t>
            </w:r>
          </w:p>
        </w:tc>
        <w:tc>
          <w:tcPr>
            <w:tcW w:w="3072" w:type="pct"/>
            <w:shd w:val="clear" w:color="000000" w:fill="D6DCE4"/>
            <w:noWrap/>
            <w:vAlign w:val="bottom"/>
            <w:hideMark/>
          </w:tcPr>
          <w:p w:rsidR="000B1D49" w:rsidRPr="005A49D3" w:rsidRDefault="000B1D49" w:rsidP="00EA09AE">
            <w:pPr>
              <w:jc w:val="center"/>
              <w:rPr>
                <w:rFonts w:eastAsia="Times New Roman"/>
                <w:szCs w:val="22"/>
                <w:rtl/>
              </w:rPr>
            </w:pPr>
            <w:r w:rsidRPr="005A49D3">
              <w:rPr>
                <w:rFonts w:eastAsia="Times New Roman" w:hint="cs"/>
                <w:szCs w:val="22"/>
              </w:rPr>
              <w:t> </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Pr>
            </w:pPr>
            <w:r w:rsidRPr="005A49D3">
              <w:rPr>
                <w:rFonts w:ascii="Calibri Light" w:eastAsia="Times New Roman" w:hAnsi="Calibri Light" w:cs="Calibri Light"/>
                <w:szCs w:val="22"/>
              </w:rPr>
              <w:t>37</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Ministry of Public Health</w:t>
            </w:r>
          </w:p>
        </w:tc>
      </w:tr>
      <w:tr w:rsidR="000B1D49" w:rsidRPr="005A49D3" w:rsidTr="0029450F">
        <w:trPr>
          <w:trHeight w:val="405"/>
          <w:jc w:val="center"/>
        </w:trPr>
        <w:tc>
          <w:tcPr>
            <w:tcW w:w="1928" w:type="pct"/>
            <w:shd w:val="clear" w:color="000000" w:fill="D6DCE4"/>
            <w:noWrap/>
            <w:vAlign w:val="bottom"/>
            <w:hideMark/>
          </w:tcPr>
          <w:p w:rsidR="000B1D49" w:rsidRPr="005A49D3" w:rsidRDefault="000B1D49" w:rsidP="00873EC3">
            <w:pPr>
              <w:pStyle w:val="ListParagraph"/>
              <w:numPr>
                <w:ilvl w:val="0"/>
                <w:numId w:val="4"/>
              </w:numPr>
              <w:rPr>
                <w:rFonts w:eastAsia="Times New Roman"/>
                <w:b/>
                <w:bCs/>
                <w:szCs w:val="22"/>
                <w:rtl/>
              </w:rPr>
            </w:pPr>
            <w:r w:rsidRPr="005A49D3">
              <w:rPr>
                <w:rFonts w:eastAsia="Times New Roman"/>
                <w:b/>
                <w:bCs/>
                <w:szCs w:val="22"/>
              </w:rPr>
              <w:lastRenderedPageBreak/>
              <w:t>Education, Culture and Religion</w:t>
            </w:r>
          </w:p>
        </w:tc>
        <w:tc>
          <w:tcPr>
            <w:tcW w:w="3072" w:type="pct"/>
            <w:shd w:val="clear" w:color="000000" w:fill="D6DCE4"/>
            <w:noWrap/>
            <w:vAlign w:val="bottom"/>
            <w:hideMark/>
          </w:tcPr>
          <w:p w:rsidR="000B1D49" w:rsidRPr="005A49D3" w:rsidRDefault="000B1D49" w:rsidP="00EA09AE">
            <w:pPr>
              <w:jc w:val="center"/>
              <w:rPr>
                <w:rFonts w:eastAsia="Times New Roman"/>
                <w:szCs w:val="22"/>
                <w:rtl/>
              </w:rPr>
            </w:pPr>
            <w:r w:rsidRPr="005A49D3">
              <w:rPr>
                <w:rFonts w:eastAsia="Times New Roman" w:hint="cs"/>
                <w:szCs w:val="22"/>
              </w:rPr>
              <w:t> </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Pr>
            </w:pPr>
            <w:r w:rsidRPr="005A49D3">
              <w:rPr>
                <w:rFonts w:ascii="Calibri Light" w:eastAsia="Times New Roman" w:hAnsi="Calibri Light" w:cs="Calibri Light"/>
                <w:szCs w:val="22"/>
              </w:rPr>
              <w:t>16</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 xml:space="preserve">Radio and television of Afghanistan  </w:t>
            </w:r>
          </w:p>
        </w:tc>
      </w:tr>
      <w:tr w:rsidR="000B1D49" w:rsidRPr="005A49D3" w:rsidTr="0029450F">
        <w:trPr>
          <w:trHeight w:val="405"/>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24</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Ministry of Haj &amp; Religious Affairs</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36</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Ministry of Information and culture</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63</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 xml:space="preserve">General Directorate of Sports and Fitness </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27</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 xml:space="preserve">Ministry of Education                     </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28</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 xml:space="preserve">Ministry of Higher Education         </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61</w:t>
            </w:r>
          </w:p>
        </w:tc>
        <w:tc>
          <w:tcPr>
            <w:tcW w:w="3072" w:type="pct"/>
            <w:shd w:val="clear" w:color="000000" w:fill="FFFFFF"/>
            <w:noWrap/>
            <w:vAlign w:val="bottom"/>
            <w:hideMark/>
          </w:tcPr>
          <w:p w:rsidR="000B1D49" w:rsidRPr="005A49D3" w:rsidRDefault="000B1D49" w:rsidP="00EA09AE">
            <w:pPr>
              <w:rPr>
                <w:rFonts w:cs="Calibri"/>
                <w:color w:val="000000"/>
                <w:szCs w:val="22"/>
              </w:rPr>
            </w:pPr>
            <w:r w:rsidRPr="005A49D3">
              <w:rPr>
                <w:rFonts w:cs="Calibri"/>
                <w:color w:val="000000"/>
                <w:szCs w:val="22"/>
              </w:rPr>
              <w:t xml:space="preserve">Afghanistan Academy of Sciences </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40</w:t>
            </w:r>
          </w:p>
        </w:tc>
        <w:tc>
          <w:tcPr>
            <w:tcW w:w="3072" w:type="pct"/>
            <w:shd w:val="clear" w:color="auto" w:fill="auto"/>
            <w:noWrap/>
            <w:vAlign w:val="bottom"/>
            <w:hideMark/>
          </w:tcPr>
          <w:p w:rsidR="000B1D49" w:rsidRPr="005A49D3" w:rsidRDefault="00651ECB" w:rsidP="00EA09AE">
            <w:pPr>
              <w:rPr>
                <w:rFonts w:cs="Calibri"/>
                <w:color w:val="000000"/>
                <w:szCs w:val="22"/>
              </w:rPr>
            </w:pPr>
            <w:r w:rsidRPr="00651ECB">
              <w:rPr>
                <w:rFonts w:cs="Calibri"/>
                <w:color w:val="000000"/>
                <w:szCs w:val="22"/>
              </w:rPr>
              <w:t>Technical and Vocational Education &amp; Trainings Authority</w:t>
            </w:r>
          </w:p>
        </w:tc>
      </w:tr>
      <w:tr w:rsidR="000B1D49" w:rsidRPr="005A49D3" w:rsidTr="0029450F">
        <w:trPr>
          <w:trHeight w:val="405"/>
          <w:jc w:val="center"/>
        </w:trPr>
        <w:tc>
          <w:tcPr>
            <w:tcW w:w="1928" w:type="pct"/>
            <w:shd w:val="clear" w:color="000000" w:fill="D6DCE4"/>
            <w:noWrap/>
            <w:vAlign w:val="bottom"/>
            <w:hideMark/>
          </w:tcPr>
          <w:p w:rsidR="000B1D49" w:rsidRPr="005A49D3" w:rsidRDefault="000B1D49" w:rsidP="00873EC3">
            <w:pPr>
              <w:pStyle w:val="ListParagraph"/>
              <w:numPr>
                <w:ilvl w:val="0"/>
                <w:numId w:val="4"/>
              </w:numPr>
              <w:rPr>
                <w:rFonts w:eastAsia="Times New Roman"/>
                <w:b/>
                <w:bCs/>
                <w:szCs w:val="22"/>
                <w:rtl/>
              </w:rPr>
            </w:pPr>
            <w:r w:rsidRPr="005A49D3">
              <w:rPr>
                <w:rFonts w:eastAsia="Times New Roman"/>
                <w:b/>
                <w:bCs/>
                <w:szCs w:val="22"/>
              </w:rPr>
              <w:t>Social and Environmental Protection</w:t>
            </w:r>
          </w:p>
        </w:tc>
        <w:tc>
          <w:tcPr>
            <w:tcW w:w="3072" w:type="pct"/>
            <w:shd w:val="clear" w:color="000000" w:fill="D6DCE4"/>
            <w:noWrap/>
            <w:vAlign w:val="bottom"/>
            <w:hideMark/>
          </w:tcPr>
          <w:p w:rsidR="000B1D49" w:rsidRPr="005A49D3" w:rsidRDefault="000B1D49" w:rsidP="00EA09AE">
            <w:pPr>
              <w:jc w:val="center"/>
              <w:rPr>
                <w:rFonts w:eastAsia="Times New Roman"/>
                <w:szCs w:val="22"/>
                <w:rtl/>
              </w:rPr>
            </w:pPr>
            <w:r w:rsidRPr="005A49D3">
              <w:rPr>
                <w:rFonts w:eastAsia="Times New Roman" w:hint="cs"/>
                <w:szCs w:val="22"/>
              </w:rPr>
              <w:t> </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Pr>
            </w:pPr>
            <w:r w:rsidRPr="005A49D3">
              <w:rPr>
                <w:rFonts w:ascii="Calibri Light" w:eastAsia="Times New Roman" w:hAnsi="Calibri Light" w:cs="Calibri Light"/>
                <w:szCs w:val="22"/>
              </w:rPr>
              <w:t>60</w:t>
            </w:r>
          </w:p>
        </w:tc>
        <w:tc>
          <w:tcPr>
            <w:tcW w:w="3072" w:type="pct"/>
            <w:shd w:val="clear" w:color="000000" w:fill="FFFFFF"/>
            <w:noWrap/>
            <w:vAlign w:val="bottom"/>
            <w:hideMark/>
          </w:tcPr>
          <w:p w:rsidR="000B1D49" w:rsidRPr="005A49D3" w:rsidRDefault="000B1D49" w:rsidP="00EA09AE">
            <w:pPr>
              <w:rPr>
                <w:rFonts w:cs="Calibri"/>
                <w:color w:val="000000"/>
                <w:szCs w:val="22"/>
              </w:rPr>
            </w:pPr>
            <w:r w:rsidRPr="005A49D3">
              <w:rPr>
                <w:rFonts w:cs="Calibri"/>
                <w:color w:val="000000"/>
                <w:szCs w:val="22"/>
              </w:rPr>
              <w:t>National Environmental Protection Agency</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46</w:t>
            </w:r>
          </w:p>
        </w:tc>
        <w:tc>
          <w:tcPr>
            <w:tcW w:w="3072" w:type="pct"/>
            <w:shd w:val="clear" w:color="000000" w:fill="FFFFFF"/>
            <w:noWrap/>
            <w:vAlign w:val="bottom"/>
            <w:hideMark/>
          </w:tcPr>
          <w:p w:rsidR="000B1D49" w:rsidRPr="005A49D3" w:rsidRDefault="000B1D49" w:rsidP="00EA09AE">
            <w:pPr>
              <w:rPr>
                <w:rFonts w:cs="Calibri"/>
                <w:color w:val="000000"/>
                <w:szCs w:val="22"/>
              </w:rPr>
            </w:pPr>
            <w:r w:rsidRPr="005A49D3">
              <w:rPr>
                <w:rFonts w:cs="Calibri"/>
                <w:color w:val="000000"/>
                <w:szCs w:val="22"/>
              </w:rPr>
              <w:t>Ministry of Frontiers and Tribal Affairs</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29</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Ministry of Refugee &amp; Returnees</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38</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Ministry of women affairs</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47</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 xml:space="preserve">Ministry of Labour Social Affairs  Martyrs and Disabled </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76</w:t>
            </w:r>
          </w:p>
        </w:tc>
        <w:tc>
          <w:tcPr>
            <w:tcW w:w="3072" w:type="pct"/>
            <w:shd w:val="clear" w:color="auto" w:fill="auto"/>
            <w:noWrap/>
            <w:vAlign w:val="bottom"/>
            <w:hideMark/>
          </w:tcPr>
          <w:p w:rsidR="000B1D49" w:rsidRPr="005A49D3" w:rsidRDefault="000B1D49" w:rsidP="00EA09AE">
            <w:pPr>
              <w:rPr>
                <w:rFonts w:cs="Calibri"/>
                <w:color w:val="000000"/>
                <w:szCs w:val="22"/>
              </w:rPr>
            </w:pPr>
            <w:r w:rsidRPr="005A49D3">
              <w:rPr>
                <w:rFonts w:cs="Calibri"/>
                <w:color w:val="000000"/>
                <w:szCs w:val="22"/>
              </w:rPr>
              <w:t>Directorate of Kochis</w:t>
            </w:r>
          </w:p>
        </w:tc>
      </w:tr>
      <w:tr w:rsidR="000B1D49" w:rsidRPr="005A49D3" w:rsidTr="0029450F">
        <w:trPr>
          <w:trHeight w:val="390"/>
          <w:jc w:val="center"/>
        </w:trPr>
        <w:tc>
          <w:tcPr>
            <w:tcW w:w="1928" w:type="pct"/>
            <w:shd w:val="clear" w:color="auto" w:fill="auto"/>
            <w:noWrap/>
            <w:vAlign w:val="bottom"/>
            <w:hideMark/>
          </w:tcPr>
          <w:p w:rsidR="000B1D49" w:rsidRPr="005A49D3" w:rsidRDefault="000B1D49" w:rsidP="00EA09AE">
            <w:pPr>
              <w:jc w:val="center"/>
              <w:rPr>
                <w:rFonts w:ascii="Calibri Light" w:eastAsia="Times New Roman" w:hAnsi="Calibri Light" w:cs="Calibri Light"/>
                <w:szCs w:val="22"/>
                <w:rtl/>
              </w:rPr>
            </w:pPr>
            <w:r w:rsidRPr="005A49D3">
              <w:rPr>
                <w:rFonts w:ascii="Calibri Light" w:eastAsia="Times New Roman" w:hAnsi="Calibri Light" w:cs="Calibri Light"/>
                <w:szCs w:val="22"/>
              </w:rPr>
              <w:t>33</w:t>
            </w:r>
          </w:p>
        </w:tc>
        <w:tc>
          <w:tcPr>
            <w:tcW w:w="3072" w:type="pct"/>
            <w:shd w:val="clear" w:color="auto" w:fill="auto"/>
            <w:noWrap/>
            <w:vAlign w:val="bottom"/>
            <w:hideMark/>
          </w:tcPr>
          <w:p w:rsidR="000B1D49" w:rsidRPr="005A49D3" w:rsidRDefault="00651ECB" w:rsidP="00EA09AE">
            <w:pPr>
              <w:rPr>
                <w:rFonts w:cs="Calibri"/>
                <w:color w:val="000000"/>
                <w:szCs w:val="22"/>
              </w:rPr>
            </w:pPr>
            <w:r w:rsidRPr="00651ECB">
              <w:rPr>
                <w:rFonts w:cs="Calibri"/>
                <w:color w:val="000000"/>
                <w:szCs w:val="22"/>
              </w:rPr>
              <w:t>National Authority on Supporting Disabled and Martyred Relatives</w:t>
            </w:r>
          </w:p>
        </w:tc>
      </w:tr>
    </w:tbl>
    <w:p w:rsidR="000B1D49" w:rsidRPr="005A49D3" w:rsidRDefault="000B1D49" w:rsidP="005F2008">
      <w:pPr>
        <w:pStyle w:val="Heading2"/>
        <w:rPr>
          <w:rFonts w:eastAsia="Corbel"/>
        </w:rPr>
      </w:pPr>
      <w:bookmarkStart w:id="41" w:name="_Toc535744269"/>
      <w:bookmarkStart w:id="42" w:name="_Toc535750198"/>
      <w:r w:rsidRPr="005A49D3">
        <w:rPr>
          <w:rFonts w:eastAsia="Corbel"/>
        </w:rPr>
        <w:t>Gender Responsive Budgeting (GRB)</w:t>
      </w:r>
      <w:bookmarkEnd w:id="41"/>
      <w:bookmarkEnd w:id="42"/>
    </w:p>
    <w:p w:rsidR="000B1D49" w:rsidRPr="005A49D3" w:rsidRDefault="000B1D49" w:rsidP="005B7EE2">
      <w:pPr>
        <w:spacing w:line="276" w:lineRule="auto"/>
        <w:jc w:val="both"/>
        <w:rPr>
          <w:szCs w:val="22"/>
          <w:lang w:bidi="ps-AF"/>
        </w:rPr>
      </w:pPr>
      <w:r w:rsidRPr="005A49D3">
        <w:rPr>
          <w:szCs w:val="22"/>
          <w:lang w:bidi="ps-AF"/>
        </w:rPr>
        <w:t xml:space="preserve">Gender equality is one of the important issues and government should reach out to it in different sections. Equal rights of men and women is </w:t>
      </w:r>
      <w:r w:rsidR="0029450F">
        <w:rPr>
          <w:szCs w:val="22"/>
          <w:lang w:bidi="ps-AF"/>
        </w:rPr>
        <w:t>enshrined</w:t>
      </w:r>
      <w:r w:rsidRPr="005A49D3">
        <w:rPr>
          <w:szCs w:val="22"/>
          <w:lang w:bidi="ps-AF"/>
        </w:rPr>
        <w:t xml:space="preserve"> in the Article No. 22 of Constitution of Afghanistan. Mi</w:t>
      </w:r>
      <w:r w:rsidR="0029450F">
        <w:rPr>
          <w:szCs w:val="22"/>
          <w:lang w:bidi="ps-AF"/>
        </w:rPr>
        <w:t xml:space="preserve">nistry of Finance </w:t>
      </w:r>
      <w:r w:rsidR="005B7EE2">
        <w:rPr>
          <w:szCs w:val="22"/>
          <w:lang w:bidi="ps-AF"/>
        </w:rPr>
        <w:t>has been working</w:t>
      </w:r>
      <w:r w:rsidRPr="005A49D3">
        <w:rPr>
          <w:szCs w:val="22"/>
          <w:lang w:bidi="ps-AF"/>
        </w:rPr>
        <w:t xml:space="preserve"> on Gender Responsive Budgeting (GRB) </w:t>
      </w:r>
      <w:r w:rsidR="005B7EE2">
        <w:rPr>
          <w:szCs w:val="22"/>
          <w:lang w:bidi="ps-AF"/>
        </w:rPr>
        <w:t>for several</w:t>
      </w:r>
      <w:r w:rsidRPr="005A49D3">
        <w:rPr>
          <w:szCs w:val="22"/>
          <w:lang w:bidi="ps-AF"/>
        </w:rPr>
        <w:t xml:space="preserve"> years and will continue its efforts in this direction. </w:t>
      </w:r>
    </w:p>
    <w:p w:rsidR="000B1D49" w:rsidRPr="005A49D3" w:rsidRDefault="000B1D49" w:rsidP="00676981">
      <w:pPr>
        <w:spacing w:line="276" w:lineRule="auto"/>
        <w:jc w:val="both"/>
        <w:rPr>
          <w:szCs w:val="22"/>
          <w:lang w:bidi="ps-AF"/>
        </w:rPr>
      </w:pPr>
      <w:r w:rsidRPr="005A49D3">
        <w:rPr>
          <w:szCs w:val="22"/>
          <w:lang w:bidi="ps-AF"/>
        </w:rPr>
        <w:t>Along with the inclusion of information on gender in the Budget Circular of Ministry of Finance, Gender Responsive Budgeting reform is practiced from 1390 onwards but due to absence of</w:t>
      </w:r>
      <w:r w:rsidR="005B7EE2">
        <w:rPr>
          <w:szCs w:val="22"/>
          <w:lang w:bidi="ps-AF"/>
        </w:rPr>
        <w:t xml:space="preserve"> a policy and specific approach</w:t>
      </w:r>
      <w:r w:rsidRPr="005A49D3">
        <w:rPr>
          <w:szCs w:val="22"/>
          <w:lang w:bidi="ps-AF"/>
        </w:rPr>
        <w:t xml:space="preserve"> in terms of its results, it has been unfavorable to some extent. It is because the Draft GRB Policy has been prepared but not finalized yet. Currently, Ministry of Finance will gather the opinions of the stake holders in order to implement this policy to enrich this document even more. By finalizing and approving this policy, it is expected that all the matters related to GRB will be better organized and will proved tangible results. For now, 10 ministries are included in the pilot phase of GRB and by the approval of GRB Policy it will be gradually implemented on all the ministries. </w:t>
      </w:r>
    </w:p>
    <w:p w:rsidR="000B1D49" w:rsidRPr="005A49D3" w:rsidRDefault="000B1D49" w:rsidP="00676981">
      <w:pPr>
        <w:spacing w:line="276" w:lineRule="auto"/>
        <w:jc w:val="both"/>
        <w:rPr>
          <w:szCs w:val="22"/>
          <w:lang w:bidi="ps-AF"/>
        </w:rPr>
      </w:pPr>
      <w:r w:rsidRPr="005A49D3">
        <w:rPr>
          <w:szCs w:val="22"/>
          <w:lang w:bidi="ps-AF"/>
        </w:rPr>
        <w:t>The main purpose of GRB Policy includes the following points:</w:t>
      </w:r>
    </w:p>
    <w:p w:rsidR="000B1D49" w:rsidRPr="00676981" w:rsidRDefault="000B1D49" w:rsidP="00873EC3">
      <w:pPr>
        <w:pStyle w:val="ListParagraph"/>
        <w:numPr>
          <w:ilvl w:val="0"/>
          <w:numId w:val="19"/>
        </w:numPr>
        <w:spacing w:line="276" w:lineRule="auto"/>
        <w:jc w:val="both"/>
        <w:rPr>
          <w:szCs w:val="22"/>
          <w:lang w:bidi="ps-AF"/>
        </w:rPr>
      </w:pPr>
      <w:r w:rsidRPr="00676981">
        <w:rPr>
          <w:szCs w:val="22"/>
          <w:lang w:bidi="ps-AF"/>
        </w:rPr>
        <w:t>Improvement and implementation of strategies and action plans related to gender by increasing the investment on gender equality and women empowerment</w:t>
      </w:r>
    </w:p>
    <w:p w:rsidR="000B1D49" w:rsidRPr="00676981" w:rsidRDefault="000B1D49" w:rsidP="00873EC3">
      <w:pPr>
        <w:pStyle w:val="ListParagraph"/>
        <w:numPr>
          <w:ilvl w:val="0"/>
          <w:numId w:val="19"/>
        </w:numPr>
        <w:spacing w:line="276" w:lineRule="auto"/>
        <w:jc w:val="both"/>
        <w:rPr>
          <w:szCs w:val="22"/>
          <w:lang w:bidi="ps-AF"/>
        </w:rPr>
      </w:pPr>
      <w:r w:rsidRPr="00676981">
        <w:rPr>
          <w:szCs w:val="22"/>
          <w:lang w:bidi="ps-AF"/>
        </w:rPr>
        <w:lastRenderedPageBreak/>
        <w:t>Implementation of programs and policies of GRB in different sectors that will result in improved access to services</w:t>
      </w:r>
    </w:p>
    <w:p w:rsidR="000B1D49" w:rsidRPr="005A49D3" w:rsidRDefault="000B1D49" w:rsidP="00873EC3">
      <w:pPr>
        <w:pStyle w:val="ListParagraph"/>
        <w:numPr>
          <w:ilvl w:val="0"/>
          <w:numId w:val="19"/>
        </w:numPr>
        <w:spacing w:line="276" w:lineRule="auto"/>
        <w:jc w:val="both"/>
        <w:rPr>
          <w:szCs w:val="22"/>
          <w:lang w:bidi="ps-AF"/>
        </w:rPr>
      </w:pPr>
      <w:r w:rsidRPr="005A49D3">
        <w:rPr>
          <w:szCs w:val="22"/>
          <w:lang w:bidi="ps-AF"/>
        </w:rPr>
        <w:t>Avoid all kinds of negative effects on girls and women (especially when government decides on decreasing the expenses and savings)</w:t>
      </w:r>
    </w:p>
    <w:p w:rsidR="000B1D49" w:rsidRPr="00676981" w:rsidRDefault="000B1D49" w:rsidP="00873EC3">
      <w:pPr>
        <w:pStyle w:val="ListParagraph"/>
        <w:numPr>
          <w:ilvl w:val="0"/>
          <w:numId w:val="19"/>
        </w:numPr>
        <w:spacing w:line="276" w:lineRule="auto"/>
        <w:jc w:val="both"/>
        <w:rPr>
          <w:szCs w:val="22"/>
          <w:lang w:bidi="ps-AF"/>
        </w:rPr>
      </w:pPr>
      <w:r w:rsidRPr="005A49D3">
        <w:rPr>
          <w:szCs w:val="22"/>
          <w:lang w:bidi="ps-AF"/>
        </w:rPr>
        <w:t>Equal participation of men and women in all arenas</w:t>
      </w:r>
    </w:p>
    <w:p w:rsidR="000B1D49" w:rsidRPr="005A49D3" w:rsidRDefault="000B1D49" w:rsidP="00676981">
      <w:pPr>
        <w:pStyle w:val="Heading3"/>
        <w:rPr>
          <w:rFonts w:eastAsia="Corbel"/>
        </w:rPr>
      </w:pPr>
      <w:bookmarkStart w:id="43" w:name="_Toc535744270"/>
      <w:bookmarkStart w:id="44" w:name="_Toc535750199"/>
      <w:r w:rsidRPr="005A49D3">
        <w:rPr>
          <w:rFonts w:eastAsia="Corbel"/>
        </w:rPr>
        <w:t>Addressing the Gender issue in 1398 Budget</w:t>
      </w:r>
      <w:bookmarkEnd w:id="43"/>
      <w:bookmarkEnd w:id="44"/>
    </w:p>
    <w:p w:rsidR="000B1D49" w:rsidRPr="005A49D3" w:rsidRDefault="000B1D49" w:rsidP="000B1D49">
      <w:pPr>
        <w:rPr>
          <w:szCs w:val="22"/>
          <w:lang w:bidi="ps-AF"/>
        </w:rPr>
      </w:pPr>
      <w:r w:rsidRPr="005A49D3">
        <w:rPr>
          <w:szCs w:val="22"/>
          <w:lang w:bidi="ps-AF"/>
        </w:rPr>
        <w:t>Lately, attention on gender has been increased especially on gender responsive budgeting. In the budget hearing meetings of 1398, gender formed an important part of discussions. In attention to the absence of the GRB policy, it is expected that its approval will help in the systematic consideration of this issue. At the moment, a number of fundamental arguments have been made as following:</w:t>
      </w:r>
    </w:p>
    <w:p w:rsidR="000B1D49" w:rsidRPr="005A49D3" w:rsidRDefault="000B1D49" w:rsidP="00873EC3">
      <w:pPr>
        <w:pStyle w:val="ListParagraph"/>
        <w:numPr>
          <w:ilvl w:val="0"/>
          <w:numId w:val="5"/>
        </w:numPr>
        <w:spacing w:after="160" w:line="259" w:lineRule="auto"/>
        <w:rPr>
          <w:szCs w:val="22"/>
          <w:lang w:bidi="ps-AF"/>
        </w:rPr>
      </w:pPr>
      <w:r w:rsidRPr="005A49D3">
        <w:rPr>
          <w:szCs w:val="22"/>
          <w:lang w:bidi="ps-AF"/>
        </w:rPr>
        <w:t>A program/plan to increase the presence of women in the ministries</w:t>
      </w:r>
    </w:p>
    <w:p w:rsidR="000B1D49" w:rsidRPr="005A49D3" w:rsidRDefault="000B1D49" w:rsidP="00873EC3">
      <w:pPr>
        <w:pStyle w:val="ListParagraph"/>
        <w:numPr>
          <w:ilvl w:val="0"/>
          <w:numId w:val="5"/>
        </w:numPr>
        <w:spacing w:after="160" w:line="259" w:lineRule="auto"/>
        <w:rPr>
          <w:szCs w:val="22"/>
          <w:lang w:bidi="ps-AF"/>
        </w:rPr>
      </w:pPr>
      <w:r w:rsidRPr="005A49D3">
        <w:rPr>
          <w:szCs w:val="22"/>
          <w:lang w:bidi="ps-AF"/>
        </w:rPr>
        <w:t>Programs to implement the Elimination of Violence Against Women (EVAW) Law, and Prohibition of Harassment of Women and Children Law</w:t>
      </w:r>
    </w:p>
    <w:p w:rsidR="000B1D49" w:rsidRPr="005A49D3" w:rsidRDefault="000B1D49" w:rsidP="00873EC3">
      <w:pPr>
        <w:pStyle w:val="ListParagraph"/>
        <w:numPr>
          <w:ilvl w:val="0"/>
          <w:numId w:val="5"/>
        </w:numPr>
        <w:spacing w:after="160" w:line="259" w:lineRule="auto"/>
        <w:rPr>
          <w:szCs w:val="22"/>
          <w:lang w:bidi="ps-AF"/>
        </w:rPr>
      </w:pPr>
      <w:r w:rsidRPr="005A49D3">
        <w:rPr>
          <w:szCs w:val="22"/>
          <w:lang w:bidi="ps-AF"/>
        </w:rPr>
        <w:t>Women Economic Empowerment National Priority Program</w:t>
      </w:r>
    </w:p>
    <w:p w:rsidR="000B1D49" w:rsidRPr="005A49D3" w:rsidRDefault="000B1D49" w:rsidP="00873EC3">
      <w:pPr>
        <w:pStyle w:val="ListParagraph"/>
        <w:numPr>
          <w:ilvl w:val="0"/>
          <w:numId w:val="5"/>
        </w:numPr>
        <w:spacing w:after="160" w:line="259" w:lineRule="auto"/>
        <w:rPr>
          <w:szCs w:val="22"/>
          <w:lang w:bidi="ps-AF"/>
        </w:rPr>
      </w:pPr>
      <w:r w:rsidRPr="005A49D3">
        <w:rPr>
          <w:szCs w:val="22"/>
          <w:lang w:bidi="ps-AF"/>
        </w:rPr>
        <w:t>Afghanistan’s 1325 Resolution</w:t>
      </w:r>
    </w:p>
    <w:p w:rsidR="000B1D49" w:rsidRPr="005A49D3" w:rsidRDefault="000B1D49" w:rsidP="00873EC3">
      <w:pPr>
        <w:pStyle w:val="ListParagraph"/>
        <w:numPr>
          <w:ilvl w:val="0"/>
          <w:numId w:val="5"/>
        </w:numPr>
        <w:spacing w:after="160" w:line="259" w:lineRule="auto"/>
        <w:rPr>
          <w:szCs w:val="22"/>
          <w:lang w:bidi="ps-AF"/>
        </w:rPr>
      </w:pPr>
      <w:r w:rsidRPr="005A49D3">
        <w:rPr>
          <w:szCs w:val="22"/>
          <w:lang w:bidi="ps-AF"/>
        </w:rPr>
        <w:t>Policy to increase women’s participation in civil services</w:t>
      </w:r>
    </w:p>
    <w:p w:rsidR="000B1D49" w:rsidRPr="005A49D3" w:rsidRDefault="000B1D49" w:rsidP="00873EC3">
      <w:pPr>
        <w:pStyle w:val="ListParagraph"/>
        <w:numPr>
          <w:ilvl w:val="0"/>
          <w:numId w:val="5"/>
        </w:numPr>
        <w:spacing w:after="160" w:line="259" w:lineRule="auto"/>
        <w:rPr>
          <w:szCs w:val="22"/>
          <w:lang w:bidi="ps-AF"/>
        </w:rPr>
      </w:pPr>
      <w:r w:rsidRPr="005A49D3">
        <w:rPr>
          <w:szCs w:val="22"/>
          <w:lang w:bidi="ps-AF"/>
        </w:rPr>
        <w:t>Women capacity building programs</w:t>
      </w:r>
    </w:p>
    <w:p w:rsidR="000B1D49" w:rsidRPr="005A49D3" w:rsidRDefault="000B1D49" w:rsidP="00676981">
      <w:pPr>
        <w:jc w:val="lowKashida"/>
        <w:rPr>
          <w:szCs w:val="22"/>
          <w:lang w:bidi="ps-AF"/>
        </w:rPr>
      </w:pPr>
      <w:r w:rsidRPr="005A49D3">
        <w:rPr>
          <w:szCs w:val="22"/>
          <w:lang w:bidi="ps-AF"/>
        </w:rPr>
        <w:t>In fact, these issues are fundamental and will be followed up and in long term it is considered that GRB Policy will be implemented in all the ministries and to increase its effectiveness certain actions will take place to reach out for the problems of women and girls. It must be said that the government emphasises on women empowerment in National Peace and Development Framework of Afghanistan (2017-2021) and the government has made it a priority in compliance with international human rights obligations such as human rights, security and prohibition of violence against women, access to education, higher education, health services, women economic empowerment and to adjust the rules in order to support women’s presence in the government.</w:t>
      </w:r>
    </w:p>
    <w:p w:rsidR="000B1D49" w:rsidRPr="00A94EB7" w:rsidRDefault="000B1D49" w:rsidP="00A94EB7">
      <w:pPr>
        <w:pStyle w:val="Heading3"/>
        <w:rPr>
          <w:rFonts w:eastAsia="Corbel"/>
        </w:rPr>
      </w:pPr>
      <w:bookmarkStart w:id="45" w:name="_Toc535744271"/>
      <w:bookmarkStart w:id="46" w:name="_Toc535750200"/>
      <w:r w:rsidRPr="00A94EB7">
        <w:rPr>
          <w:rFonts w:eastAsia="Corbel"/>
        </w:rPr>
        <w:t>Future Plans</w:t>
      </w:r>
      <w:bookmarkEnd w:id="45"/>
      <w:bookmarkEnd w:id="46"/>
    </w:p>
    <w:p w:rsidR="000B1D49" w:rsidRPr="005A49D3" w:rsidRDefault="000B1D49" w:rsidP="00873EC3">
      <w:pPr>
        <w:pStyle w:val="ListParagraph"/>
        <w:numPr>
          <w:ilvl w:val="0"/>
          <w:numId w:val="6"/>
        </w:numPr>
        <w:spacing w:after="160" w:line="259" w:lineRule="auto"/>
        <w:jc w:val="lowKashida"/>
        <w:rPr>
          <w:szCs w:val="22"/>
          <w:lang w:bidi="ps-AF"/>
        </w:rPr>
      </w:pPr>
      <w:r w:rsidRPr="005A49D3">
        <w:rPr>
          <w:szCs w:val="22"/>
          <w:lang w:bidi="ps-AF"/>
        </w:rPr>
        <w:t>Approval of GRB Policy by the Cabinet of Islamic Republic of Afghanistan</w:t>
      </w:r>
    </w:p>
    <w:p w:rsidR="000B1D49" w:rsidRPr="005A49D3" w:rsidRDefault="000B1D49" w:rsidP="00873EC3">
      <w:pPr>
        <w:pStyle w:val="ListParagraph"/>
        <w:numPr>
          <w:ilvl w:val="0"/>
          <w:numId w:val="6"/>
        </w:numPr>
        <w:spacing w:after="160" w:line="259" w:lineRule="auto"/>
        <w:jc w:val="lowKashida"/>
        <w:rPr>
          <w:szCs w:val="22"/>
          <w:lang w:bidi="ps-AF"/>
        </w:rPr>
      </w:pPr>
      <w:r w:rsidRPr="005A49D3">
        <w:rPr>
          <w:szCs w:val="22"/>
          <w:lang w:bidi="ps-AF"/>
        </w:rPr>
        <w:t>Preparing a work plan for the implementation and replication of GRB Policy in a gradual way across all departments</w:t>
      </w:r>
    </w:p>
    <w:p w:rsidR="000B1D49" w:rsidRPr="005A49D3" w:rsidRDefault="000B1D49" w:rsidP="00873EC3">
      <w:pPr>
        <w:pStyle w:val="ListParagraph"/>
        <w:numPr>
          <w:ilvl w:val="0"/>
          <w:numId w:val="6"/>
        </w:numPr>
        <w:spacing w:after="160" w:line="259" w:lineRule="auto"/>
        <w:jc w:val="lowKashida"/>
        <w:rPr>
          <w:szCs w:val="22"/>
          <w:lang w:bidi="ps-AF"/>
        </w:rPr>
      </w:pPr>
      <w:r w:rsidRPr="005A49D3">
        <w:rPr>
          <w:szCs w:val="22"/>
          <w:lang w:bidi="ps-AF"/>
        </w:rPr>
        <w:t>Creating a GRB cell in the general directorate of budget of Ministry of Finance to lead and organize these reforms in the related ministries</w:t>
      </w:r>
    </w:p>
    <w:p w:rsidR="000B1D49" w:rsidRPr="005A49D3" w:rsidRDefault="000B1D49" w:rsidP="00873EC3">
      <w:pPr>
        <w:pStyle w:val="ListParagraph"/>
        <w:numPr>
          <w:ilvl w:val="0"/>
          <w:numId w:val="6"/>
        </w:numPr>
        <w:spacing w:after="160" w:line="259" w:lineRule="auto"/>
        <w:jc w:val="lowKashida"/>
        <w:rPr>
          <w:szCs w:val="22"/>
          <w:lang w:bidi="ps-AF"/>
        </w:rPr>
      </w:pPr>
      <w:r w:rsidRPr="005A49D3">
        <w:rPr>
          <w:szCs w:val="22"/>
          <w:lang w:bidi="ps-AF"/>
        </w:rPr>
        <w:t>Schedule capacity building programs in the ministries to effectively implement GRB</w:t>
      </w:r>
    </w:p>
    <w:p w:rsidR="000B1D49" w:rsidRPr="005A49D3" w:rsidRDefault="000B1D49" w:rsidP="00873EC3">
      <w:pPr>
        <w:pStyle w:val="ListParagraph"/>
        <w:numPr>
          <w:ilvl w:val="0"/>
          <w:numId w:val="6"/>
        </w:numPr>
        <w:spacing w:after="160" w:line="259" w:lineRule="auto"/>
        <w:jc w:val="lowKashida"/>
        <w:rPr>
          <w:szCs w:val="22"/>
          <w:lang w:bidi="ps-AF"/>
        </w:rPr>
      </w:pPr>
      <w:r w:rsidRPr="005A49D3">
        <w:rPr>
          <w:szCs w:val="22"/>
          <w:lang w:bidi="ps-AF"/>
        </w:rPr>
        <w:t>Creating a coordinating mechanism and scheduling Steering Committee meetings and Technical Working Group to effectively implement GRB</w:t>
      </w:r>
      <w:r w:rsidR="00676981">
        <w:rPr>
          <w:szCs w:val="22"/>
          <w:lang w:bidi="ps-AF"/>
        </w:rPr>
        <w:t>.</w:t>
      </w:r>
    </w:p>
    <w:p w:rsidR="000B1D49" w:rsidRPr="005A49D3" w:rsidRDefault="000B1D49" w:rsidP="00676981">
      <w:pPr>
        <w:jc w:val="lowKashida"/>
        <w:rPr>
          <w:szCs w:val="22"/>
          <w:lang w:bidi="ps-AF"/>
        </w:rPr>
      </w:pPr>
      <w:r w:rsidRPr="005A49D3">
        <w:rPr>
          <w:szCs w:val="22"/>
          <w:lang w:bidi="ps-AF"/>
        </w:rPr>
        <w:t>In the meantime, the gender budgeting arrangement will be one of the important implications of gender mainstreaming which will make Ministry of Finance able to provide national budget analysis from a gender perspective and based on this there will be a better understanding of the extent to which gender issues are addressed. It must be reminded that this document has been shared with all the stakeholders and in order to increase the transparency it will be accessible to the civil society and public.</w:t>
      </w:r>
    </w:p>
    <w:p w:rsidR="000B1D49" w:rsidRDefault="000B1D49" w:rsidP="00676981">
      <w:pPr>
        <w:spacing w:line="0" w:lineRule="atLeast"/>
        <w:jc w:val="lowKashida"/>
        <w:rPr>
          <w:szCs w:val="22"/>
          <w:lang w:bidi="ps-AF"/>
        </w:rPr>
      </w:pPr>
      <w:r w:rsidRPr="005A49D3">
        <w:rPr>
          <w:szCs w:val="22"/>
          <w:lang w:bidi="ps-AF"/>
        </w:rPr>
        <w:t>In GRB Policy a Steering Committee is also taken under consideration that will lead and coordinate GRB related issues. Besides, in this policy creation of a Technical Working Committee has also been predicted that will do the required works to better implement this policy and will implement and follow up with the decisions of the Steering Committee. It must be reminded that the Terms of Reference (ToR) for the Steering Committee and the Technical Working Group is already prepared.</w:t>
      </w:r>
    </w:p>
    <w:p w:rsidR="000B1D49" w:rsidRPr="00A94EB7" w:rsidRDefault="000B1D49" w:rsidP="000B1D49">
      <w:pPr>
        <w:spacing w:line="0" w:lineRule="atLeast"/>
        <w:rPr>
          <w:rFonts w:eastAsia="Corbel"/>
          <w:color w:val="727F72"/>
          <w:sz w:val="8"/>
          <w:szCs w:val="8"/>
        </w:rPr>
      </w:pPr>
    </w:p>
    <w:p w:rsidR="000B1D49" w:rsidRPr="005A49D3" w:rsidRDefault="002411D2" w:rsidP="00A94EB7">
      <w:pPr>
        <w:pStyle w:val="Heading2"/>
        <w:rPr>
          <w:rFonts w:eastAsia="Corbel"/>
        </w:rPr>
      </w:pPr>
      <w:bookmarkStart w:id="47" w:name="_Toc535744272"/>
      <w:bookmarkStart w:id="48" w:name="_Toc535750201"/>
      <w:r w:rsidRPr="005A49D3">
        <w:rPr>
          <w:rFonts w:eastAsia="Corbel"/>
        </w:rPr>
        <w:lastRenderedPageBreak/>
        <w:t>Recapitalization of Central</w:t>
      </w:r>
      <w:r w:rsidR="000B1D49" w:rsidRPr="005A49D3">
        <w:rPr>
          <w:rFonts w:eastAsia="Corbel"/>
        </w:rPr>
        <w:t xml:space="preserve"> Bank</w:t>
      </w:r>
      <w:r w:rsidRPr="005A49D3">
        <w:rPr>
          <w:rFonts w:eastAsia="Corbel"/>
        </w:rPr>
        <w:t xml:space="preserve"> (DAB)</w:t>
      </w:r>
      <w:bookmarkEnd w:id="47"/>
      <w:bookmarkEnd w:id="48"/>
    </w:p>
    <w:p w:rsidR="000B1D49" w:rsidRPr="00676981" w:rsidRDefault="000B1D49" w:rsidP="00676981">
      <w:pPr>
        <w:spacing w:line="276" w:lineRule="auto"/>
        <w:jc w:val="both"/>
        <w:rPr>
          <w:szCs w:val="22"/>
          <w:lang w:bidi="ps-AF"/>
        </w:rPr>
      </w:pPr>
      <w:r w:rsidRPr="00676981">
        <w:rPr>
          <w:szCs w:val="22"/>
          <w:lang w:bidi="ps-AF"/>
        </w:rPr>
        <w:t>After Kabul Bank’s crisis, the government took steps to maintain the credibility of the banking system in Afghanistan. Releasing the mentioned bank from bankruptcy and giving people refunds were the priorities that should have been addressed at that time. On this account, the Ministry of Finance signed an agreement with the central bank. Under this agreement, the Ministry of Finance committed to compensate for the decline in the central bank's capital, which was spent to handle the Kabul Bank’s problem, in a few years. This issue has been included and implemented in the national budget from 2012 onwards. For fiscal year 1398, an amount of 7.1 billion AFN has been considered for compensation of the central bank's capital which is funded from cash reserves of the treasury.</w:t>
      </w:r>
    </w:p>
    <w:p w:rsidR="000B1D49" w:rsidRPr="00676981" w:rsidRDefault="000B1D49" w:rsidP="00676981">
      <w:pPr>
        <w:spacing w:line="276" w:lineRule="auto"/>
        <w:jc w:val="both"/>
        <w:rPr>
          <w:szCs w:val="22"/>
          <w:lang w:bidi="ps-AF"/>
        </w:rPr>
      </w:pPr>
      <w:r w:rsidRPr="00676981">
        <w:rPr>
          <w:szCs w:val="22"/>
          <w:lang w:bidi="ps-AF"/>
        </w:rPr>
        <w:t>The internationa</w:t>
      </w:r>
      <w:r w:rsidR="005B7EE2">
        <w:rPr>
          <w:szCs w:val="22"/>
          <w:lang w:bidi="ps-AF"/>
        </w:rPr>
        <w:t>l accounting principles require</w:t>
      </w:r>
      <w:r w:rsidRPr="00676981">
        <w:rPr>
          <w:szCs w:val="22"/>
          <w:lang w:bidi="ps-AF"/>
        </w:rPr>
        <w:t xml:space="preserve"> that the expense of every period must be financed by the income of the same period. Accordingly, the Ministry of Finance considers the above-mentioned funds that do not have the nature of consumption should be funded through the cash reserves of the treasury. The cash reserve of the treasury is formed from the income of the previous periods and according to accounting it is considered as government’s asset. This payment means a reduction of 7.1 billion AFN in government’s assets and the government's debt reduction is just as much, which in no way affects the government's predicted expenditures and revenues of the fiscal year 1398. With this account, it is well known that this is done in light of the accepted global accounting standards and is explained based on the government's commitment on being accountable to the public.</w:t>
      </w:r>
    </w:p>
    <w:p w:rsidR="000B1D49" w:rsidRPr="005A49D3" w:rsidRDefault="000B1D49" w:rsidP="00A94EB7">
      <w:pPr>
        <w:pStyle w:val="Heading2"/>
        <w:rPr>
          <w:rFonts w:eastAsia="Corbel"/>
        </w:rPr>
      </w:pPr>
      <w:bookmarkStart w:id="49" w:name="_Toc535744273"/>
      <w:bookmarkStart w:id="50" w:name="_Toc535750202"/>
      <w:r w:rsidRPr="005A49D3">
        <w:rPr>
          <w:rFonts w:eastAsia="Corbel"/>
        </w:rPr>
        <w:t>Next Steps</w:t>
      </w:r>
      <w:bookmarkEnd w:id="49"/>
      <w:bookmarkEnd w:id="50"/>
    </w:p>
    <w:p w:rsidR="000B1D49" w:rsidRPr="005A49D3" w:rsidRDefault="000B1D49" w:rsidP="00676981">
      <w:pPr>
        <w:spacing w:line="276" w:lineRule="auto"/>
        <w:jc w:val="both"/>
        <w:rPr>
          <w:szCs w:val="22"/>
          <w:lang w:bidi="ps-AF"/>
        </w:rPr>
      </w:pPr>
      <w:r w:rsidRPr="005A49D3">
        <w:rPr>
          <w:szCs w:val="22"/>
          <w:lang w:bidi="ps-AF"/>
        </w:rPr>
        <w:t>The process of arranging projects has been an important part of the budget process in the previous years, but there has been problem with the quality of the design of Project Concept Notes (PCNs). In order to solve this problem, the Ministry of Finance in coordination with the Ministry of Economy, is determined to separate the Project Cycle from the Budget Cycle next year. This action has been taken with the aim of increasing the quality of the planning and effective evaluation of the projects, which will allow the departments to have enough time to arrange the projects. In this way, agencies can have more time in arrangement, design and review of the projects, that way the Ministry of Finance and the Ministry of Economy can take more time to evaluate development projects from a technical and effective aspect as well. Ministries can plan and arrange their new development projects without any time limit during the year. These projects will be later on evaluated by Ministry of Economy and Ministry of Finance, therefore, after the approval of Ministry of Economy/Finance it will be included in the National Budget document with consideration of the budgetary possibilities and the priority areas during the arrangement of budget.</w:t>
      </w:r>
    </w:p>
    <w:p w:rsidR="000B1D49" w:rsidRPr="005A49D3" w:rsidRDefault="000B1D49" w:rsidP="00A94EB7">
      <w:pPr>
        <w:pStyle w:val="Heading1"/>
        <w:rPr>
          <w:rFonts w:eastAsia="Corbel"/>
        </w:rPr>
      </w:pPr>
      <w:bookmarkStart w:id="51" w:name="_Toc535744274"/>
      <w:bookmarkStart w:id="52" w:name="_Toc535750203"/>
      <w:r w:rsidRPr="005A49D3">
        <w:rPr>
          <w:rFonts w:eastAsia="Corbel"/>
        </w:rPr>
        <w:t>Consolidated Budget of 1398</w:t>
      </w:r>
      <w:bookmarkEnd w:id="51"/>
      <w:bookmarkEnd w:id="52"/>
    </w:p>
    <w:p w:rsidR="000B1D49" w:rsidRPr="005A49D3" w:rsidRDefault="000B1D49" w:rsidP="00264556">
      <w:pPr>
        <w:jc w:val="both"/>
        <w:rPr>
          <w:szCs w:val="22"/>
          <w:lang w:bidi="ps-AF"/>
        </w:rPr>
      </w:pPr>
      <w:r w:rsidRPr="005A49D3">
        <w:rPr>
          <w:szCs w:val="22"/>
          <w:lang w:bidi="ps-AF"/>
        </w:rPr>
        <w:t>Budget of fiscal year 1398 has been arranged by the end of 1397 based on true events and estimated level of expenditures which is kept at a reasonable level and on the other hand, priorities of the government is also reflected as much as possible. In the fiscal year 1398, an amount of 12.3 billion AFN is predicted as budget deficit but it is expected that through increased revenue this amount will reach a reasonable level during the fiscal year 1398.</w:t>
      </w:r>
    </w:p>
    <w:p w:rsidR="00845DE7" w:rsidRPr="005A49D3" w:rsidRDefault="000B1D49" w:rsidP="00264556">
      <w:pPr>
        <w:jc w:val="both"/>
        <w:rPr>
          <w:szCs w:val="22"/>
          <w:lang w:bidi="ps-AF"/>
        </w:rPr>
      </w:pPr>
      <w:r w:rsidRPr="005A49D3">
        <w:rPr>
          <w:szCs w:val="22"/>
          <w:lang w:bidi="ps-AF"/>
        </w:rPr>
        <w:t>Total budget of fiscal year 1398 is 399 billion AFN which includes 275 billion AFN that makes 69% of the total budget as Operating Budget and the remaining 124 billion AFN that makes 31% of the total budget as Development Budget. Overall, compared to the expenditure of the 1397 fiscal year, budget of 1398 shows a slight increase due to the increase in the development budget in comparison with the estimated level of expenditure.</w:t>
      </w:r>
      <w:r w:rsidR="00F3029C" w:rsidRPr="005A49D3">
        <w:rPr>
          <w:szCs w:val="22"/>
          <w:lang w:bidi="ps-AF"/>
        </w:rPr>
        <w:t xml:space="preserve"> </w:t>
      </w:r>
    </w:p>
    <w:p w:rsidR="007F28DE" w:rsidRPr="005A49D3" w:rsidRDefault="007F28DE" w:rsidP="000B1D49">
      <w:pPr>
        <w:rPr>
          <w:szCs w:val="22"/>
          <w:lang w:bidi="ps-AF"/>
        </w:rPr>
        <w:sectPr w:rsidR="007F28DE" w:rsidRPr="005A49D3" w:rsidSect="009D6E9F">
          <w:pgSz w:w="11906" w:h="16838" w:code="9"/>
          <w:pgMar w:top="1440" w:right="1800" w:bottom="1440" w:left="1800" w:header="720" w:footer="720" w:gutter="0"/>
          <w:cols w:space="708"/>
          <w:docGrid w:linePitch="360"/>
        </w:sectPr>
      </w:pPr>
    </w:p>
    <w:p w:rsidR="00264556" w:rsidRPr="00264556" w:rsidRDefault="00264556" w:rsidP="00264556">
      <w:pPr>
        <w:pStyle w:val="Caption"/>
        <w:bidi w:val="0"/>
        <w:jc w:val="left"/>
        <w:rPr>
          <w:rFonts w:ascii="Garamond" w:hAnsi="Garamond"/>
          <w:sz w:val="22"/>
          <w:szCs w:val="22"/>
        </w:rPr>
      </w:pPr>
      <w:bookmarkStart w:id="53" w:name="_Toc535750265"/>
      <w:r w:rsidRPr="00264556">
        <w:rPr>
          <w:rFonts w:ascii="Garamond" w:hAnsi="Garamond"/>
          <w:sz w:val="22"/>
          <w:szCs w:val="22"/>
        </w:rPr>
        <w:lastRenderedPageBreak/>
        <w:t xml:space="preserve">Table </w:t>
      </w:r>
      <w:r w:rsidRPr="00264556">
        <w:rPr>
          <w:rFonts w:ascii="Garamond" w:hAnsi="Garamond"/>
          <w:sz w:val="22"/>
          <w:szCs w:val="22"/>
        </w:rPr>
        <w:fldChar w:fldCharType="begin"/>
      </w:r>
      <w:r w:rsidRPr="00264556">
        <w:rPr>
          <w:rFonts w:ascii="Garamond" w:hAnsi="Garamond"/>
          <w:sz w:val="22"/>
          <w:szCs w:val="22"/>
        </w:rPr>
        <w:instrText xml:space="preserve"> SEQ Table \* ARABIC </w:instrText>
      </w:r>
      <w:r w:rsidRPr="00264556">
        <w:rPr>
          <w:rFonts w:ascii="Garamond" w:hAnsi="Garamond"/>
          <w:sz w:val="22"/>
          <w:szCs w:val="22"/>
        </w:rPr>
        <w:fldChar w:fldCharType="separate"/>
      </w:r>
      <w:r w:rsidR="00862183">
        <w:rPr>
          <w:rFonts w:ascii="Garamond" w:hAnsi="Garamond"/>
          <w:noProof/>
          <w:sz w:val="22"/>
          <w:szCs w:val="22"/>
        </w:rPr>
        <w:t>4</w:t>
      </w:r>
      <w:r w:rsidRPr="00264556">
        <w:rPr>
          <w:rFonts w:ascii="Garamond" w:hAnsi="Garamond"/>
          <w:sz w:val="22"/>
          <w:szCs w:val="22"/>
        </w:rPr>
        <w:fldChar w:fldCharType="end"/>
      </w:r>
      <w:r>
        <w:rPr>
          <w:rFonts w:ascii="Garamond" w:hAnsi="Garamond"/>
          <w:sz w:val="22"/>
          <w:szCs w:val="22"/>
        </w:rPr>
        <w:t xml:space="preserve"> </w:t>
      </w:r>
      <w:r w:rsidRPr="00264556">
        <w:rPr>
          <w:rFonts w:ascii="Garamond" w:hAnsi="Garamond"/>
          <w:sz w:val="22"/>
          <w:szCs w:val="22"/>
        </w:rPr>
        <w:t>Consolidated Budget of 1398</w:t>
      </w:r>
      <w:bookmarkEnd w:id="53"/>
    </w:p>
    <w:tbl>
      <w:tblPr>
        <w:tblW w:w="14359" w:type="dxa"/>
        <w:tblInd w:w="-18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3"/>
        <w:gridCol w:w="3490"/>
        <w:gridCol w:w="1741"/>
        <w:gridCol w:w="1741"/>
        <w:gridCol w:w="1741"/>
        <w:gridCol w:w="1741"/>
        <w:gridCol w:w="1741"/>
        <w:gridCol w:w="1741"/>
      </w:tblGrid>
      <w:tr w:rsidR="00E4313B" w:rsidRPr="00044E5A" w:rsidTr="00651ECB">
        <w:trPr>
          <w:trHeight w:val="20"/>
          <w:tblHeader/>
        </w:trPr>
        <w:tc>
          <w:tcPr>
            <w:tcW w:w="423" w:type="dxa"/>
            <w:shd w:val="clear" w:color="000000" w:fill="DDEBF7"/>
            <w:vAlign w:val="center"/>
            <w:hideMark/>
          </w:tcPr>
          <w:p w:rsidR="00722370" w:rsidRPr="00044E5A" w:rsidRDefault="00722370" w:rsidP="00722370">
            <w:pPr>
              <w:jc w:val="center"/>
              <w:rPr>
                <w:rFonts w:eastAsia="Times New Roman" w:cs="Calibri"/>
                <w:b/>
                <w:bCs/>
                <w:color w:val="000000"/>
                <w:sz w:val="18"/>
                <w:szCs w:val="18"/>
              </w:rPr>
            </w:pPr>
            <w:r w:rsidRPr="00044E5A">
              <w:rPr>
                <w:rFonts w:eastAsia="Times New Roman" w:cs="Calibri"/>
                <w:b/>
                <w:bCs/>
                <w:color w:val="000000"/>
                <w:sz w:val="18"/>
                <w:szCs w:val="18"/>
              </w:rPr>
              <w:t> </w:t>
            </w:r>
          </w:p>
        </w:tc>
        <w:tc>
          <w:tcPr>
            <w:tcW w:w="3490" w:type="dxa"/>
            <w:shd w:val="clear" w:color="000000" w:fill="DDEBF7"/>
            <w:vAlign w:val="center"/>
            <w:hideMark/>
          </w:tcPr>
          <w:p w:rsidR="00722370" w:rsidRPr="00044E5A" w:rsidRDefault="00722370" w:rsidP="00722370">
            <w:pPr>
              <w:jc w:val="center"/>
              <w:rPr>
                <w:rFonts w:eastAsia="Times New Roman" w:cs="Calibri"/>
                <w:b/>
                <w:bCs/>
                <w:color w:val="000000"/>
                <w:sz w:val="18"/>
                <w:szCs w:val="18"/>
              </w:rPr>
            </w:pPr>
            <w:r w:rsidRPr="00044E5A">
              <w:rPr>
                <w:rFonts w:eastAsia="Times New Roman" w:cs="Calibri"/>
                <w:b/>
                <w:bCs/>
                <w:color w:val="000000"/>
                <w:sz w:val="18"/>
                <w:szCs w:val="18"/>
              </w:rPr>
              <w:t>Budgetary units</w:t>
            </w:r>
          </w:p>
        </w:tc>
        <w:tc>
          <w:tcPr>
            <w:tcW w:w="1741" w:type="dxa"/>
            <w:shd w:val="clear" w:color="000000" w:fill="DDEBF7"/>
            <w:vAlign w:val="center"/>
            <w:hideMark/>
          </w:tcPr>
          <w:p w:rsidR="00722370" w:rsidRPr="00044E5A" w:rsidRDefault="00F000C9" w:rsidP="00F000C9">
            <w:pPr>
              <w:jc w:val="center"/>
              <w:rPr>
                <w:rFonts w:eastAsia="Times New Roman" w:cs="Calibri"/>
                <w:b/>
                <w:bCs/>
                <w:color w:val="000000"/>
                <w:sz w:val="18"/>
                <w:szCs w:val="18"/>
              </w:rPr>
            </w:pPr>
            <w:r w:rsidRPr="00044E5A">
              <w:rPr>
                <w:rFonts w:eastAsia="Times New Roman" w:cs="Calibri"/>
                <w:b/>
                <w:bCs/>
                <w:color w:val="000000"/>
                <w:sz w:val="18"/>
                <w:szCs w:val="18"/>
              </w:rPr>
              <w:t>21</w:t>
            </w:r>
            <w:r w:rsidR="00722370" w:rsidRPr="00044E5A">
              <w:rPr>
                <w:rFonts w:eastAsia="Times New Roman" w:cs="Calibri"/>
                <w:b/>
                <w:bCs/>
                <w:color w:val="000000"/>
                <w:sz w:val="18"/>
                <w:szCs w:val="18"/>
                <w:rtl/>
              </w:rPr>
              <w:t xml:space="preserve"> </w:t>
            </w:r>
            <w:r w:rsidR="00722370" w:rsidRPr="00044E5A">
              <w:rPr>
                <w:rFonts w:eastAsia="Times New Roman" w:cs="Calibri"/>
                <w:b/>
                <w:bCs/>
                <w:color w:val="000000"/>
                <w:sz w:val="18"/>
                <w:szCs w:val="18"/>
              </w:rPr>
              <w:t>Wages and Salaries</w:t>
            </w:r>
            <w:r w:rsidR="00722370" w:rsidRPr="00044E5A">
              <w:rPr>
                <w:rFonts w:eastAsia="Times New Roman" w:cs="Calibri"/>
                <w:b/>
                <w:bCs/>
                <w:color w:val="000000"/>
                <w:sz w:val="18"/>
                <w:szCs w:val="18"/>
                <w:rtl/>
              </w:rPr>
              <w:t xml:space="preserve"> </w:t>
            </w:r>
            <w:r w:rsidR="00722370" w:rsidRPr="00044E5A">
              <w:rPr>
                <w:rFonts w:eastAsia="Times New Roman" w:cs="Calibri"/>
                <w:b/>
                <w:bCs/>
                <w:color w:val="000000"/>
                <w:sz w:val="18"/>
                <w:szCs w:val="18"/>
              </w:rPr>
              <w:t>Expenditure</w:t>
            </w:r>
          </w:p>
        </w:tc>
        <w:tc>
          <w:tcPr>
            <w:tcW w:w="1741" w:type="dxa"/>
            <w:shd w:val="clear" w:color="000000" w:fill="DDEBF7"/>
            <w:vAlign w:val="center"/>
            <w:hideMark/>
          </w:tcPr>
          <w:p w:rsidR="00722370" w:rsidRPr="00044E5A" w:rsidRDefault="00F000C9" w:rsidP="00F000C9">
            <w:pPr>
              <w:jc w:val="center"/>
              <w:rPr>
                <w:rFonts w:eastAsia="Times New Roman" w:cs="Calibri"/>
                <w:b/>
                <w:bCs/>
                <w:color w:val="000000"/>
                <w:sz w:val="18"/>
                <w:szCs w:val="18"/>
                <w:rtl/>
              </w:rPr>
            </w:pPr>
            <w:r w:rsidRPr="00044E5A">
              <w:rPr>
                <w:rFonts w:eastAsia="Times New Roman" w:cs="Calibri"/>
                <w:b/>
                <w:bCs/>
                <w:color w:val="000000"/>
                <w:sz w:val="18"/>
                <w:szCs w:val="18"/>
              </w:rPr>
              <w:t>22</w:t>
            </w:r>
            <w:r w:rsidR="00722370" w:rsidRPr="00044E5A">
              <w:rPr>
                <w:rFonts w:eastAsia="Times New Roman" w:cs="Calibri"/>
                <w:b/>
                <w:bCs/>
                <w:color w:val="000000"/>
                <w:sz w:val="18"/>
                <w:szCs w:val="18"/>
                <w:rtl/>
              </w:rPr>
              <w:t xml:space="preserve"> </w:t>
            </w:r>
            <w:r w:rsidR="00722370" w:rsidRPr="00044E5A">
              <w:rPr>
                <w:rFonts w:eastAsia="Times New Roman" w:cs="Calibri"/>
                <w:b/>
                <w:bCs/>
                <w:color w:val="000000"/>
                <w:sz w:val="18"/>
                <w:szCs w:val="18"/>
              </w:rPr>
              <w:t>Use of Goods and</w:t>
            </w:r>
            <w:r w:rsidR="00722370" w:rsidRPr="00044E5A">
              <w:rPr>
                <w:rFonts w:eastAsia="Times New Roman" w:cs="Calibri"/>
                <w:b/>
                <w:bCs/>
                <w:color w:val="000000"/>
                <w:sz w:val="18"/>
                <w:szCs w:val="18"/>
                <w:rtl/>
              </w:rPr>
              <w:t xml:space="preserve"> </w:t>
            </w:r>
            <w:r w:rsidR="00722370" w:rsidRPr="00044E5A">
              <w:rPr>
                <w:rFonts w:eastAsia="Times New Roman" w:cs="Calibri"/>
                <w:b/>
                <w:bCs/>
                <w:color w:val="000000"/>
                <w:sz w:val="18"/>
                <w:szCs w:val="18"/>
              </w:rPr>
              <w:t>Services</w:t>
            </w:r>
          </w:p>
        </w:tc>
        <w:tc>
          <w:tcPr>
            <w:tcW w:w="1741" w:type="dxa"/>
            <w:shd w:val="clear" w:color="000000" w:fill="DDEBF7"/>
            <w:vAlign w:val="center"/>
            <w:hideMark/>
          </w:tcPr>
          <w:p w:rsidR="00722370" w:rsidRPr="00044E5A" w:rsidRDefault="00F000C9" w:rsidP="00F000C9">
            <w:pPr>
              <w:jc w:val="center"/>
              <w:rPr>
                <w:rFonts w:eastAsia="Times New Roman" w:cs="Calibri"/>
                <w:b/>
                <w:bCs/>
                <w:color w:val="000000"/>
                <w:sz w:val="18"/>
                <w:szCs w:val="18"/>
                <w:rtl/>
              </w:rPr>
            </w:pPr>
            <w:r w:rsidRPr="00044E5A">
              <w:rPr>
                <w:rFonts w:eastAsia="Times New Roman" w:cs="Calibri"/>
                <w:b/>
                <w:bCs/>
                <w:color w:val="000000"/>
                <w:sz w:val="18"/>
                <w:szCs w:val="18"/>
              </w:rPr>
              <w:t>23</w:t>
            </w:r>
            <w:r w:rsidR="00722370" w:rsidRPr="00044E5A">
              <w:rPr>
                <w:rFonts w:eastAsia="Times New Roman" w:cs="Calibri"/>
                <w:b/>
                <w:bCs/>
                <w:color w:val="000000"/>
                <w:sz w:val="18"/>
                <w:szCs w:val="18"/>
                <w:rtl/>
              </w:rPr>
              <w:t xml:space="preserve"> </w:t>
            </w:r>
            <w:r w:rsidR="00722370" w:rsidRPr="00044E5A">
              <w:rPr>
                <w:rFonts w:eastAsia="Times New Roman" w:cs="Calibri"/>
                <w:b/>
                <w:bCs/>
                <w:color w:val="000000"/>
                <w:sz w:val="18"/>
                <w:szCs w:val="18"/>
              </w:rPr>
              <w:t>Interest</w:t>
            </w:r>
            <w:r w:rsidR="00722370" w:rsidRPr="00044E5A">
              <w:rPr>
                <w:rFonts w:eastAsia="Times New Roman" w:cs="Calibri"/>
                <w:b/>
                <w:bCs/>
                <w:color w:val="000000"/>
                <w:sz w:val="18"/>
                <w:szCs w:val="18"/>
                <w:rtl/>
              </w:rPr>
              <w:t xml:space="preserve"> &amp; </w:t>
            </w:r>
            <w:r w:rsidR="00722370" w:rsidRPr="00044E5A">
              <w:rPr>
                <w:rFonts w:eastAsia="Times New Roman" w:cs="Calibri"/>
                <w:b/>
                <w:bCs/>
                <w:color w:val="000000"/>
                <w:sz w:val="18"/>
                <w:szCs w:val="18"/>
              </w:rPr>
              <w:t>Repayment of Loans</w:t>
            </w:r>
          </w:p>
        </w:tc>
        <w:tc>
          <w:tcPr>
            <w:tcW w:w="1741" w:type="dxa"/>
            <w:shd w:val="clear" w:color="000000" w:fill="DDEBF7"/>
            <w:vAlign w:val="center"/>
            <w:hideMark/>
          </w:tcPr>
          <w:p w:rsidR="00722370" w:rsidRPr="00044E5A" w:rsidRDefault="00F000C9" w:rsidP="00F000C9">
            <w:pPr>
              <w:jc w:val="center"/>
              <w:rPr>
                <w:rFonts w:eastAsia="Times New Roman" w:cs="Calibri"/>
                <w:b/>
                <w:bCs/>
                <w:color w:val="000000"/>
                <w:sz w:val="18"/>
                <w:szCs w:val="18"/>
                <w:rtl/>
              </w:rPr>
            </w:pPr>
            <w:r w:rsidRPr="00044E5A">
              <w:rPr>
                <w:rFonts w:eastAsia="Times New Roman" w:cs="Calibri"/>
                <w:b/>
                <w:bCs/>
                <w:color w:val="000000"/>
                <w:sz w:val="18"/>
                <w:szCs w:val="18"/>
              </w:rPr>
              <w:t>24</w:t>
            </w:r>
            <w:r w:rsidR="00722370" w:rsidRPr="00044E5A">
              <w:rPr>
                <w:rFonts w:eastAsia="Times New Roman" w:cs="Calibri"/>
                <w:b/>
                <w:bCs/>
                <w:color w:val="000000"/>
                <w:sz w:val="18"/>
                <w:szCs w:val="18"/>
                <w:rtl/>
              </w:rPr>
              <w:t xml:space="preserve"> </w:t>
            </w:r>
            <w:r w:rsidR="00722370" w:rsidRPr="00044E5A">
              <w:rPr>
                <w:rFonts w:eastAsia="Times New Roman" w:cs="Calibri"/>
                <w:b/>
                <w:bCs/>
                <w:color w:val="000000"/>
                <w:sz w:val="18"/>
                <w:szCs w:val="18"/>
              </w:rPr>
              <w:t>Subsidies Grants</w:t>
            </w:r>
            <w:r w:rsidR="00722370" w:rsidRPr="00044E5A">
              <w:rPr>
                <w:rFonts w:eastAsia="Times New Roman" w:cs="Calibri"/>
                <w:b/>
                <w:bCs/>
                <w:color w:val="000000"/>
                <w:sz w:val="18"/>
                <w:szCs w:val="18"/>
                <w:rtl/>
              </w:rPr>
              <w:t xml:space="preserve"> &amp; </w:t>
            </w:r>
            <w:r w:rsidR="00722370" w:rsidRPr="00044E5A">
              <w:rPr>
                <w:rFonts w:eastAsia="Times New Roman" w:cs="Calibri"/>
                <w:b/>
                <w:bCs/>
                <w:color w:val="000000"/>
                <w:sz w:val="18"/>
                <w:szCs w:val="18"/>
              </w:rPr>
              <w:t>Social Benefits</w:t>
            </w:r>
          </w:p>
        </w:tc>
        <w:tc>
          <w:tcPr>
            <w:tcW w:w="1741" w:type="dxa"/>
            <w:shd w:val="clear" w:color="000000" w:fill="DDEBF7"/>
            <w:vAlign w:val="center"/>
            <w:hideMark/>
          </w:tcPr>
          <w:p w:rsidR="00722370" w:rsidRPr="00044E5A" w:rsidRDefault="00F000C9" w:rsidP="00F000C9">
            <w:pPr>
              <w:jc w:val="center"/>
              <w:rPr>
                <w:rFonts w:eastAsia="Times New Roman" w:cs="Calibri"/>
                <w:b/>
                <w:bCs/>
                <w:color w:val="000000"/>
                <w:sz w:val="18"/>
                <w:szCs w:val="18"/>
                <w:rtl/>
              </w:rPr>
            </w:pPr>
            <w:r w:rsidRPr="00044E5A">
              <w:rPr>
                <w:rFonts w:eastAsia="Times New Roman" w:cs="Calibri"/>
                <w:b/>
                <w:bCs/>
                <w:color w:val="000000"/>
                <w:sz w:val="18"/>
                <w:szCs w:val="18"/>
              </w:rPr>
              <w:t>25</w:t>
            </w:r>
            <w:r w:rsidR="00722370" w:rsidRPr="00044E5A">
              <w:rPr>
                <w:rFonts w:eastAsia="Times New Roman" w:cs="Calibri"/>
                <w:b/>
                <w:bCs/>
                <w:color w:val="000000"/>
                <w:sz w:val="18"/>
                <w:szCs w:val="18"/>
                <w:rtl/>
              </w:rPr>
              <w:t xml:space="preserve"> </w:t>
            </w:r>
            <w:r w:rsidR="00722370" w:rsidRPr="00044E5A">
              <w:rPr>
                <w:rFonts w:eastAsia="Times New Roman" w:cs="Calibri"/>
                <w:b/>
                <w:bCs/>
                <w:color w:val="000000"/>
                <w:sz w:val="18"/>
                <w:szCs w:val="18"/>
              </w:rPr>
              <w:t>Acquisition of Assets</w:t>
            </w:r>
          </w:p>
        </w:tc>
        <w:tc>
          <w:tcPr>
            <w:tcW w:w="1741" w:type="dxa"/>
            <w:shd w:val="clear" w:color="000000" w:fill="DDEBF7"/>
            <w:vAlign w:val="center"/>
            <w:hideMark/>
          </w:tcPr>
          <w:p w:rsidR="00722370" w:rsidRPr="00044E5A" w:rsidRDefault="00722370" w:rsidP="00F000C9">
            <w:pPr>
              <w:jc w:val="center"/>
              <w:rPr>
                <w:rFonts w:eastAsia="Times New Roman" w:cs="Calibri"/>
                <w:b/>
                <w:bCs/>
                <w:color w:val="000000"/>
                <w:sz w:val="18"/>
                <w:szCs w:val="18"/>
                <w:rtl/>
              </w:rPr>
            </w:pPr>
            <w:r w:rsidRPr="00044E5A">
              <w:rPr>
                <w:rFonts w:eastAsia="Times New Roman" w:cs="Calibri"/>
                <w:b/>
                <w:bCs/>
                <w:color w:val="000000"/>
                <w:sz w:val="18"/>
                <w:szCs w:val="18"/>
              </w:rPr>
              <w:t>Total</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10</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Office of the Chief of staff to the president</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3,270,200,000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887,540,160 </w:t>
            </w:r>
          </w:p>
        </w:tc>
        <w:tc>
          <w:tcPr>
            <w:tcW w:w="1741" w:type="dxa"/>
            <w:shd w:val="clear" w:color="auto" w:fill="auto"/>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w:t>
            </w:r>
            <w:r w:rsidR="00A46279" w:rsidRPr="00044E5A">
              <w:rPr>
                <w:rFonts w:eastAsia="Times New Roman" w:cs="Calibri"/>
                <w:sz w:val="18"/>
                <w:szCs w:val="18"/>
              </w:rPr>
              <w:t xml:space="preserve">                             </w:t>
            </w: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68,549,105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4,226,289,265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11</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National Assembly Meshanro Jirga</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428,467,575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109,078,900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21,197,620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558,744,095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12</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National Assembly  Wolesi Jirga</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1,401,446,785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262,846,265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39,761,820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1,704,054,870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13</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Office of Administrative Affairs &amp; Council of Ministers’ Secretariat</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2,659,912,715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1,125,790,000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3,000,000,000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3,983,734,130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10,769,436,845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14</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Supreme Court</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3,502,409,810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219,986,800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46,074,445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3,768,471,055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15</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Presidential Protective Service</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1,718,178,840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564,900,000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98,500,000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2,381,578,840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16</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Radio and television of Afghanistan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300,993,857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149,407,242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99,212,447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549,613,546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17</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National Security Council</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671,128,765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216,964,965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6,817,185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894,910,915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20</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Finance</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1,601,833,206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2,881,720,420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568,196,655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5,051,750,280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21</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State in </w:t>
            </w:r>
            <w:r w:rsidR="00F000C9" w:rsidRPr="00044E5A">
              <w:rPr>
                <w:rFonts w:eastAsia="Times New Roman" w:cs="Calibri"/>
                <w:sz w:val="18"/>
                <w:szCs w:val="18"/>
              </w:rPr>
              <w:t>Parliamentary</w:t>
            </w:r>
            <w:r w:rsidRPr="00044E5A">
              <w:rPr>
                <w:rFonts w:eastAsia="Times New Roman" w:cs="Calibri"/>
                <w:sz w:val="18"/>
                <w:szCs w:val="18"/>
              </w:rPr>
              <w:t xml:space="preserve"> Affairs</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124,627,952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57,812,944 </w:t>
            </w:r>
          </w:p>
        </w:tc>
        <w:tc>
          <w:tcPr>
            <w:tcW w:w="1741" w:type="dxa"/>
            <w:shd w:val="clear" w:color="auto" w:fill="auto"/>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12,394,452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194,835,349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22</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w:t>
            </w:r>
            <w:r w:rsidR="00F000C9" w:rsidRPr="00044E5A">
              <w:rPr>
                <w:rFonts w:eastAsia="Times New Roman" w:cs="Calibri"/>
                <w:sz w:val="18"/>
                <w:szCs w:val="18"/>
              </w:rPr>
              <w:t>Defense</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62,996,123,977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12,854,208,625 </w:t>
            </w:r>
          </w:p>
        </w:tc>
        <w:tc>
          <w:tcPr>
            <w:tcW w:w="1741" w:type="dxa"/>
            <w:shd w:val="clear" w:color="auto" w:fill="auto"/>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3,000,021,407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78,850,354,009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23</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Foreign Affairs</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3,633,323,000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2,650,000,000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562,508,920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6,845,831,920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24</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Haj and Religious Affairs</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1,091,127,840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251,175,000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A4627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363,735,765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1,706,038,605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25</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Commerce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309,850,875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361,601,118 </w:t>
            </w:r>
          </w:p>
        </w:tc>
        <w:tc>
          <w:tcPr>
            <w:tcW w:w="1741" w:type="dxa"/>
            <w:shd w:val="clear" w:color="auto" w:fill="auto"/>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00A46279" w:rsidRPr="00044E5A">
              <w:rPr>
                <w:rFonts w:eastAsia="Times New Roman" w:cs="Calibri"/>
                <w:sz w:val="18"/>
                <w:szCs w:val="18"/>
              </w:rPr>
              <w:t xml:space="preserve">     </w:t>
            </w: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45,394,452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716,846,445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lastRenderedPageBreak/>
              <w:t>26</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Interior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42,875,524,612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9,656,715,639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F000C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365,000,000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1,986,829,527 </w:t>
            </w:r>
          </w:p>
        </w:tc>
        <w:tc>
          <w:tcPr>
            <w:tcW w:w="1741" w:type="dxa"/>
            <w:shd w:val="clear" w:color="000000" w:fill="FFFFFF"/>
            <w:noWrap/>
            <w:vAlign w:val="center"/>
            <w:hideMark/>
          </w:tcPr>
          <w:p w:rsidR="00722370" w:rsidRPr="00044E5A" w:rsidRDefault="00F000C9"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54,884,069,778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27</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Education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31,964,931,465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2,966,716,515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2,771,431,017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37,703,078,997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28</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Higher Education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3,829,364,800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2,573,577,295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F000C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1,360,127,630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7,763,069,725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29</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Ministry of Refugees and Repatriates</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242,976,766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145,079,115 </w:t>
            </w:r>
          </w:p>
        </w:tc>
        <w:tc>
          <w:tcPr>
            <w:tcW w:w="1741" w:type="dxa"/>
            <w:shd w:val="clear" w:color="auto" w:fill="auto"/>
            <w:noWrap/>
            <w:vAlign w:val="center"/>
            <w:hideMark/>
          </w:tcPr>
          <w:p w:rsidR="00722370" w:rsidRPr="00044E5A" w:rsidRDefault="00F000C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69,295,839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457,351,720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31</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Afghanistan Central Civil </w:t>
            </w:r>
            <w:r w:rsidR="002C62D6" w:rsidRPr="00044E5A">
              <w:rPr>
                <w:rFonts w:eastAsia="Times New Roman" w:cs="Calibri"/>
                <w:sz w:val="18"/>
                <w:szCs w:val="18"/>
              </w:rPr>
              <w:t>Registration</w:t>
            </w:r>
            <w:r w:rsidRPr="00044E5A">
              <w:rPr>
                <w:rFonts w:eastAsia="Times New Roman" w:cs="Calibri"/>
                <w:sz w:val="18"/>
                <w:szCs w:val="18"/>
              </w:rPr>
              <w:t xml:space="preserve"> Authority</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292,939,000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451,273,500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F000C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25,610,000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769,822,500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32</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Mines and Industries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389,075,000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225,775,000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F000C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91,919,175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706,769,175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33</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National Authority on Supporting Disabled and Martyred Relatives</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94,560,000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67,181,075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w:t>
            </w:r>
            <w:r w:rsidR="00F000C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7,000,000,000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1,970,000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7,163,711,075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34</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Communication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413,700,000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202,150,000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F000C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3,681,744,600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4,297,594,600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35</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Economy</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193,548,560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370,054,510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F000C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44,510,000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608,113,070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36</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Information and Culture</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428,821,720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159,095,595 </w:t>
            </w:r>
          </w:p>
        </w:tc>
        <w:tc>
          <w:tcPr>
            <w:tcW w:w="1741" w:type="dxa"/>
            <w:shd w:val="clear" w:color="auto" w:fill="auto"/>
            <w:noWrap/>
            <w:vAlign w:val="center"/>
            <w:hideMark/>
          </w:tcPr>
          <w:p w:rsidR="00722370" w:rsidRPr="00044E5A" w:rsidRDefault="00F000C9"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316,269,185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904,186,500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37</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Public Health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2,794,799,600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11,410,647,046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F000C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2,674,854,805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16,880,301,451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38</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Women Affairs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160,993,325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105,213,748 </w:t>
            </w:r>
          </w:p>
        </w:tc>
        <w:tc>
          <w:tcPr>
            <w:tcW w:w="1741" w:type="dxa"/>
            <w:shd w:val="clear" w:color="auto" w:fill="auto"/>
            <w:noWrap/>
            <w:vAlign w:val="center"/>
            <w:hideMark/>
          </w:tcPr>
          <w:p w:rsidR="00722370" w:rsidRPr="00044E5A" w:rsidRDefault="00F000C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00722370" w:rsidRPr="00044E5A">
              <w:rPr>
                <w:rFonts w:eastAsia="Times New Roman" w:cs="Calibri"/>
                <w:sz w:val="18"/>
                <w:szCs w:val="18"/>
              </w:rPr>
              <w:t xml:space="preserve">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12,394,452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278,601,525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39</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Agriculture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1,150,157,905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6,907,281,505 </w:t>
            </w:r>
          </w:p>
        </w:tc>
        <w:tc>
          <w:tcPr>
            <w:tcW w:w="1741" w:type="dxa"/>
            <w:shd w:val="clear" w:color="auto" w:fill="auto"/>
            <w:noWrap/>
            <w:vAlign w:val="center"/>
            <w:hideMark/>
          </w:tcPr>
          <w:p w:rsidR="00722370" w:rsidRPr="00044E5A" w:rsidRDefault="00F000C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1,454,756,635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9,512,196,045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40</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Technical and Vocational Education &amp; Trainings Authority</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1,386,122,465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685,547,150 </w:t>
            </w:r>
          </w:p>
        </w:tc>
        <w:tc>
          <w:tcPr>
            <w:tcW w:w="1741" w:type="dxa"/>
            <w:shd w:val="clear" w:color="auto" w:fill="auto"/>
            <w:noWrap/>
            <w:vAlign w:val="center"/>
            <w:hideMark/>
          </w:tcPr>
          <w:p w:rsidR="00722370" w:rsidRPr="00044E5A" w:rsidRDefault="00F000C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53,162,850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2,124,832,465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41</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Energy and Water</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492,500,000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1,458,103,146 </w:t>
            </w:r>
          </w:p>
        </w:tc>
        <w:tc>
          <w:tcPr>
            <w:tcW w:w="1741" w:type="dxa"/>
            <w:shd w:val="clear" w:color="auto" w:fill="auto"/>
            <w:noWrap/>
            <w:vAlign w:val="center"/>
            <w:hideMark/>
          </w:tcPr>
          <w:p w:rsidR="00722370" w:rsidRPr="00044E5A" w:rsidRDefault="00F000C9"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5,298,033,595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7,248,636,741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42</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Public Works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463,935,000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6,255,644,182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F000C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6,606,845,338 </w:t>
            </w:r>
          </w:p>
        </w:tc>
        <w:tc>
          <w:tcPr>
            <w:tcW w:w="1741" w:type="dxa"/>
            <w:shd w:val="clear" w:color="000000" w:fill="FFFFFF"/>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13,326,424,520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43</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Rural Rehabilitation and Development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346,952,460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3,865,635,653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F000C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15,910,312,366 </w:t>
            </w:r>
          </w:p>
        </w:tc>
        <w:tc>
          <w:tcPr>
            <w:tcW w:w="1741" w:type="dxa"/>
            <w:shd w:val="clear" w:color="000000" w:fill="FFFFFF"/>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20,122,900,479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lastRenderedPageBreak/>
              <w:t>44</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Civil Aviation Authority</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216,700,000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1,166,488,533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2,955,001,137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4,338,189,670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45</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Transport and Aviation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204,436,750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128,725,000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46,197,226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379,358,976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46</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Frontiers and Tribal Affairs</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231,220,515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343,957,302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A4627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7,436,671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582,614,488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47</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labor and Social Affairs</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868,083,494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794,200,481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A4627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7,000,000,000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149,142,788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8,811,426,763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48</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Counter Narcotics</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145,137,780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120,770,845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A4627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107,000,000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372,908,625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49</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Urban Development Affairs &amp; Land Management</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656,906,350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1,262,205,905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A4627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4,621,084,620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6,540,196,875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50</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Ministry of Justice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592,970,000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262,170,800 </w:t>
            </w:r>
          </w:p>
        </w:tc>
        <w:tc>
          <w:tcPr>
            <w:tcW w:w="1741" w:type="dxa"/>
            <w:shd w:val="clear" w:color="auto" w:fill="auto"/>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00A46279" w:rsidRPr="00044E5A">
              <w:rPr>
                <w:rFonts w:eastAsia="Times New Roman" w:cs="Calibri"/>
                <w:sz w:val="18"/>
                <w:szCs w:val="18"/>
              </w:rPr>
              <w:t xml:space="preserve">        </w:t>
            </w: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170,420,695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1,025,561,495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51</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Attorney General</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2,375,694,905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338,645,530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A4627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118,220,190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2,832,560,625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52</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National Authority of Examinations</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92,590,000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76,830,000 </w:t>
            </w:r>
          </w:p>
        </w:tc>
        <w:tc>
          <w:tcPr>
            <w:tcW w:w="1741" w:type="dxa"/>
            <w:shd w:val="clear" w:color="auto" w:fill="auto"/>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w:t>
            </w:r>
            <w:r w:rsidR="00A46279" w:rsidRPr="00044E5A">
              <w:rPr>
                <w:rFonts w:eastAsia="Times New Roman" w:cs="Calibri"/>
                <w:sz w:val="18"/>
                <w:szCs w:val="18"/>
              </w:rPr>
              <w:t xml:space="preserve">                             </w:t>
            </w:r>
            <w:r w:rsidR="00E4313B" w:rsidRPr="00044E5A">
              <w:rPr>
                <w:rFonts w:eastAsia="Times New Roman" w:cs="Calibri"/>
                <w:sz w:val="18"/>
                <w:szCs w:val="18"/>
              </w:rPr>
              <w:t xml:space="preserve">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985,000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170,405,000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53</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Authority on Regulation of Fuel and Gas of Afghanistan</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59,100,000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602,935,825 </w:t>
            </w:r>
          </w:p>
        </w:tc>
        <w:tc>
          <w:tcPr>
            <w:tcW w:w="1741" w:type="dxa"/>
            <w:shd w:val="clear" w:color="auto" w:fill="auto"/>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662,035,825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58</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Afghanistan National Standard Authority</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63,173,960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62,373,260 </w:t>
            </w:r>
          </w:p>
        </w:tc>
        <w:tc>
          <w:tcPr>
            <w:tcW w:w="1741" w:type="dxa"/>
            <w:shd w:val="clear" w:color="auto" w:fill="auto"/>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746,630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126,293,850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59</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Independent Directorate of Local Governance</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1,911,950,995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2,122,350,770 </w:t>
            </w:r>
          </w:p>
        </w:tc>
        <w:tc>
          <w:tcPr>
            <w:tcW w:w="1741" w:type="dxa"/>
            <w:shd w:val="clear" w:color="auto" w:fill="auto"/>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3,538,291,110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7,572,592,875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60</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Directorate of Environment</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166,311,423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84,025,000 </w:t>
            </w:r>
          </w:p>
        </w:tc>
        <w:tc>
          <w:tcPr>
            <w:tcW w:w="1741" w:type="dxa"/>
            <w:shd w:val="clear" w:color="auto" w:fill="auto"/>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w:t>
            </w:r>
            <w:r w:rsidR="00A46279" w:rsidRPr="00044E5A">
              <w:rPr>
                <w:rFonts w:eastAsia="Times New Roman" w:cs="Calibri"/>
                <w:sz w:val="18"/>
                <w:szCs w:val="18"/>
              </w:rPr>
              <w:t xml:space="preserve">     </w:t>
            </w: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66,551,400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316,887,823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61</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Science Academy</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222,000,581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45,301,541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A4627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1,859,168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269,161,290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62</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IARCSC</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363,957,500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546,028,000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A46279"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25,619,145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935,604,645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63</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National Olympic Committee</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83,725,000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194,064,720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Pr="00044E5A">
              <w:rPr>
                <w:rFonts w:eastAsia="Times New Roman" w:cs="Calibri"/>
                <w:sz w:val="18"/>
                <w:szCs w:val="18"/>
              </w:rPr>
              <w:t xml:space="preserve">        </w:t>
            </w:r>
            <w:r w:rsidR="00E4313B"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97,090,226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374,879,946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64</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General Directorate of National Security</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14,530,696,000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3,372,239,000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314,759,000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18,217,694,000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66</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Control and Audit Office</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122,639,395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352,564,395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10,194,000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485,397,790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68</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Office of Disaster Preparedness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80,496,170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57,706,225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3,098,613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141,301,008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71</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Independent Electoral Complaints Commission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195,014,240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73,781,425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49,578,005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318,373,670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72</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Election Commission</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320,052,445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129,900,815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404,717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450,357,977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73</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Central Statistics Office</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162,984,010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306,116,313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29,549,405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498,649,728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75</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Afghanistan High Atomic Energy commission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35,460,000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10,638,000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2,955,000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49,053,000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lastRenderedPageBreak/>
              <w:t>76</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Directorate of Kochis</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80,829,100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77,180,235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36,535,560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194,544,895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79</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Kabul Municipalities</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20,000,000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2,856,840,000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2,876,840,000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81</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Micro Finance Investment Support Facility for Afghanistan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328,900,000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328,900,000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82</w:t>
            </w:r>
          </w:p>
        </w:tc>
        <w:tc>
          <w:tcPr>
            <w:tcW w:w="3490" w:type="dxa"/>
            <w:shd w:val="clear" w:color="DCE6F1" w:fill="FFFFFF"/>
            <w:noWrap/>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Water Supply and Canalization Corporation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auto" w:fill="auto"/>
            <w:noWrap/>
            <w:vAlign w:val="center"/>
            <w:hideMark/>
          </w:tcPr>
          <w:p w:rsidR="00722370" w:rsidRPr="00044E5A" w:rsidRDefault="00A46279"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451,000,000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451,000,000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83</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Da Afghanistan Brishna Shirkat</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13,801,500,000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13,801,500,000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84</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Capital Region Independent Development Authority</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7,927,280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39,400,000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914,992,000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962,319,280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85</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Independent Commission for Overseeing the Implementation of Constitution</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54,518,302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23,978,940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78,497,243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86</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Afghanistan Independent Human Rights Commission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40,542,600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20,200,000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60,742,600 </w:t>
            </w:r>
          </w:p>
        </w:tc>
      </w:tr>
      <w:tr w:rsidR="00E4313B" w:rsidRPr="00044E5A" w:rsidTr="00F3029C">
        <w:trPr>
          <w:trHeight w:val="20"/>
          <w:tblHeader/>
        </w:trPr>
        <w:tc>
          <w:tcPr>
            <w:tcW w:w="423" w:type="dxa"/>
            <w:shd w:val="clear" w:color="DCE6F1"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88</w:t>
            </w:r>
          </w:p>
        </w:tc>
        <w:tc>
          <w:tcPr>
            <w:tcW w:w="3490" w:type="dxa"/>
            <w:shd w:val="clear" w:color="DCE6F1"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 xml:space="preserve"> Executive Directorate and Secretariat  of Ministers Council</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254,121,135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528,569,400 </w:t>
            </w:r>
          </w:p>
        </w:tc>
        <w:tc>
          <w:tcPr>
            <w:tcW w:w="1741" w:type="dxa"/>
            <w:shd w:val="clear" w:color="auto" w:fill="auto"/>
            <w:noWrap/>
            <w:vAlign w:val="center"/>
            <w:hideMark/>
          </w:tcPr>
          <w:p w:rsidR="00722370" w:rsidRPr="00044E5A" w:rsidRDefault="00E4313B" w:rsidP="00044E5A">
            <w:pPr>
              <w:jc w:val="right"/>
              <w:rPr>
                <w:rFonts w:eastAsia="Times New Roman" w:cs="Calibri"/>
                <w:sz w:val="18"/>
                <w:szCs w:val="18"/>
              </w:rPr>
            </w:pPr>
            <w:r w:rsidRPr="00044E5A">
              <w:rPr>
                <w:rFonts w:eastAsia="Times New Roman" w:cs="Calibri"/>
                <w:sz w:val="18"/>
                <w:szCs w:val="18"/>
              </w:rPr>
              <w:t xml:space="preserve">         </w:t>
            </w:r>
            <w:r w:rsidR="00722370"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DCE6F1"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24,788,510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807,479,045 </w:t>
            </w:r>
          </w:p>
        </w:tc>
      </w:tr>
      <w:tr w:rsidR="00E4313B" w:rsidRPr="00044E5A" w:rsidTr="00F3029C">
        <w:trPr>
          <w:trHeight w:val="20"/>
          <w:tblHeader/>
        </w:trPr>
        <w:tc>
          <w:tcPr>
            <w:tcW w:w="423" w:type="dxa"/>
            <w:shd w:val="clear" w:color="000000" w:fill="FFFFFF"/>
            <w:noWrap/>
            <w:vAlign w:val="center"/>
            <w:hideMark/>
          </w:tcPr>
          <w:p w:rsidR="00722370" w:rsidRPr="00044E5A" w:rsidRDefault="00722370" w:rsidP="00722370">
            <w:pPr>
              <w:jc w:val="center"/>
              <w:rPr>
                <w:rFonts w:eastAsia="Times New Roman" w:cs="Calibri"/>
                <w:sz w:val="18"/>
                <w:szCs w:val="18"/>
              </w:rPr>
            </w:pPr>
            <w:r w:rsidRPr="00044E5A">
              <w:rPr>
                <w:rFonts w:eastAsia="Times New Roman" w:cs="Calibri"/>
                <w:sz w:val="18"/>
                <w:szCs w:val="18"/>
              </w:rPr>
              <w:t>89</w:t>
            </w:r>
          </w:p>
        </w:tc>
        <w:tc>
          <w:tcPr>
            <w:tcW w:w="3490" w:type="dxa"/>
            <w:shd w:val="clear" w:color="000000" w:fill="FFFFFF"/>
            <w:vAlign w:val="center"/>
            <w:hideMark/>
          </w:tcPr>
          <w:p w:rsidR="00722370" w:rsidRPr="00044E5A" w:rsidRDefault="00722370" w:rsidP="00722370">
            <w:pPr>
              <w:rPr>
                <w:rFonts w:eastAsia="Times New Roman" w:cs="Calibri"/>
                <w:sz w:val="18"/>
                <w:szCs w:val="18"/>
              </w:rPr>
            </w:pPr>
            <w:r w:rsidRPr="00044E5A">
              <w:rPr>
                <w:rFonts w:eastAsia="Times New Roman" w:cs="Calibri"/>
                <w:sz w:val="18"/>
                <w:szCs w:val="18"/>
              </w:rPr>
              <w:t>Railway Authority (New Independent Agency from MoPW)</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34,550,000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2,069,900,000 </w:t>
            </w:r>
          </w:p>
        </w:tc>
        <w:tc>
          <w:tcPr>
            <w:tcW w:w="1741" w:type="dxa"/>
            <w:shd w:val="clear" w:color="auto" w:fill="auto"/>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w:t>
            </w:r>
            <w:r w:rsidR="00E4313B" w:rsidRPr="00044E5A">
              <w:rPr>
                <w:rFonts w:eastAsia="Times New Roman" w:cs="Calibri"/>
                <w:sz w:val="18"/>
                <w:szCs w:val="18"/>
              </w:rPr>
              <w:t xml:space="preserve">                  </w:t>
            </w:r>
            <w:r w:rsidRPr="00044E5A">
              <w:rPr>
                <w:rFonts w:eastAsia="Times New Roman" w:cs="Calibri"/>
                <w:sz w:val="18"/>
                <w:szCs w:val="18"/>
              </w:rPr>
              <w:t xml:space="preserve">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174,440,000 </w:t>
            </w:r>
          </w:p>
        </w:tc>
        <w:tc>
          <w:tcPr>
            <w:tcW w:w="1741" w:type="dxa"/>
            <w:shd w:val="clear" w:color="000000" w:fill="FFFFFF"/>
            <w:noWrap/>
            <w:vAlign w:val="center"/>
            <w:hideMark/>
          </w:tcPr>
          <w:p w:rsidR="00722370" w:rsidRPr="00044E5A" w:rsidRDefault="00722370" w:rsidP="00044E5A">
            <w:pPr>
              <w:jc w:val="right"/>
              <w:rPr>
                <w:rFonts w:eastAsia="Times New Roman" w:cs="Calibri"/>
                <w:sz w:val="18"/>
                <w:szCs w:val="18"/>
              </w:rPr>
            </w:pPr>
            <w:r w:rsidRPr="00044E5A">
              <w:rPr>
                <w:rFonts w:eastAsia="Times New Roman" w:cs="Calibri"/>
                <w:sz w:val="18"/>
                <w:szCs w:val="18"/>
              </w:rPr>
              <w:t xml:space="preserve">        2,278,890,000 </w:t>
            </w:r>
          </w:p>
        </w:tc>
      </w:tr>
      <w:tr w:rsidR="00E4313B" w:rsidRPr="00044E5A" w:rsidTr="00F3029C">
        <w:trPr>
          <w:trHeight w:val="20"/>
          <w:tblHeader/>
        </w:trPr>
        <w:tc>
          <w:tcPr>
            <w:tcW w:w="423" w:type="dxa"/>
            <w:shd w:val="clear" w:color="000000" w:fill="BDD7EE"/>
            <w:vAlign w:val="center"/>
            <w:hideMark/>
          </w:tcPr>
          <w:p w:rsidR="00722370" w:rsidRPr="00044E5A" w:rsidRDefault="00722370" w:rsidP="00722370">
            <w:pPr>
              <w:jc w:val="center"/>
              <w:rPr>
                <w:rFonts w:eastAsia="Times New Roman" w:cs="Calibri"/>
                <w:b/>
                <w:bCs/>
                <w:sz w:val="16"/>
                <w:szCs w:val="16"/>
              </w:rPr>
            </w:pPr>
            <w:r w:rsidRPr="00044E5A">
              <w:rPr>
                <w:rFonts w:eastAsia="Times New Roman" w:cs="Calibri"/>
                <w:b/>
                <w:bCs/>
                <w:sz w:val="16"/>
                <w:szCs w:val="16"/>
              </w:rPr>
              <w:t>98</w:t>
            </w:r>
          </w:p>
        </w:tc>
        <w:tc>
          <w:tcPr>
            <w:tcW w:w="3490" w:type="dxa"/>
            <w:shd w:val="clear" w:color="000000" w:fill="BDD7EE"/>
            <w:vAlign w:val="center"/>
            <w:hideMark/>
          </w:tcPr>
          <w:p w:rsidR="00722370" w:rsidRPr="00044E5A" w:rsidRDefault="00722370" w:rsidP="00722370">
            <w:pPr>
              <w:rPr>
                <w:rFonts w:eastAsia="Times New Roman" w:cs="Calibri"/>
                <w:b/>
                <w:bCs/>
                <w:sz w:val="18"/>
                <w:szCs w:val="18"/>
              </w:rPr>
            </w:pPr>
            <w:r w:rsidRPr="00044E5A">
              <w:rPr>
                <w:rFonts w:eastAsia="Times New Roman" w:cs="Calibri"/>
                <w:b/>
                <w:bCs/>
                <w:sz w:val="18"/>
                <w:szCs w:val="18"/>
              </w:rPr>
              <w:t xml:space="preserve">  Contingency codes</w:t>
            </w:r>
          </w:p>
        </w:tc>
        <w:tc>
          <w:tcPr>
            <w:tcW w:w="1741" w:type="dxa"/>
            <w:shd w:val="clear" w:color="DCE6F1" w:fill="BDD7EE"/>
            <w:noWrap/>
            <w:vAlign w:val="center"/>
            <w:hideMark/>
          </w:tcPr>
          <w:p w:rsidR="00722370" w:rsidRPr="00044E5A" w:rsidRDefault="00722370" w:rsidP="00044E5A">
            <w:pPr>
              <w:jc w:val="right"/>
              <w:rPr>
                <w:rFonts w:eastAsia="Times New Roman" w:cs="Calibri"/>
                <w:b/>
                <w:bCs/>
                <w:sz w:val="18"/>
                <w:szCs w:val="18"/>
              </w:rPr>
            </w:pPr>
            <w:r w:rsidRPr="00044E5A">
              <w:rPr>
                <w:rFonts w:eastAsia="Times New Roman" w:cs="Calibri"/>
                <w:b/>
                <w:bCs/>
                <w:sz w:val="18"/>
                <w:szCs w:val="18"/>
              </w:rPr>
              <w:t xml:space="preserve">    280,000,000 </w:t>
            </w:r>
          </w:p>
        </w:tc>
        <w:tc>
          <w:tcPr>
            <w:tcW w:w="1741" w:type="dxa"/>
            <w:shd w:val="clear" w:color="DCE6F1" w:fill="BDD7EE"/>
            <w:noWrap/>
            <w:vAlign w:val="center"/>
            <w:hideMark/>
          </w:tcPr>
          <w:p w:rsidR="00722370" w:rsidRPr="00044E5A" w:rsidRDefault="00722370" w:rsidP="00044E5A">
            <w:pPr>
              <w:jc w:val="right"/>
              <w:rPr>
                <w:rFonts w:eastAsia="Times New Roman" w:cs="Calibri"/>
                <w:b/>
                <w:bCs/>
                <w:sz w:val="18"/>
                <w:szCs w:val="18"/>
              </w:rPr>
            </w:pPr>
            <w:r w:rsidRPr="00044E5A">
              <w:rPr>
                <w:rFonts w:eastAsia="Times New Roman" w:cs="Calibri"/>
                <w:b/>
                <w:bCs/>
                <w:sz w:val="18"/>
                <w:szCs w:val="18"/>
              </w:rPr>
              <w:t xml:space="preserve">10,223,256,287 </w:t>
            </w:r>
          </w:p>
        </w:tc>
        <w:tc>
          <w:tcPr>
            <w:tcW w:w="1741" w:type="dxa"/>
            <w:shd w:val="clear" w:color="DCE6F1" w:fill="BDD7EE"/>
            <w:noWrap/>
            <w:vAlign w:val="center"/>
            <w:hideMark/>
          </w:tcPr>
          <w:p w:rsidR="00722370" w:rsidRPr="00044E5A" w:rsidRDefault="00722370" w:rsidP="00044E5A">
            <w:pPr>
              <w:jc w:val="right"/>
              <w:rPr>
                <w:rFonts w:eastAsia="Times New Roman" w:cs="Calibri"/>
                <w:b/>
                <w:bCs/>
                <w:sz w:val="18"/>
                <w:szCs w:val="18"/>
              </w:rPr>
            </w:pPr>
            <w:r w:rsidRPr="00044E5A">
              <w:rPr>
                <w:rFonts w:eastAsia="Times New Roman" w:cs="Calibri"/>
                <w:b/>
                <w:bCs/>
                <w:sz w:val="18"/>
                <w:szCs w:val="18"/>
              </w:rPr>
              <w:t xml:space="preserve">       2,300,000,000 </w:t>
            </w:r>
          </w:p>
        </w:tc>
        <w:tc>
          <w:tcPr>
            <w:tcW w:w="1741" w:type="dxa"/>
            <w:shd w:val="clear" w:color="DCE6F1" w:fill="BDD7EE"/>
            <w:noWrap/>
            <w:vAlign w:val="center"/>
            <w:hideMark/>
          </w:tcPr>
          <w:p w:rsidR="00722370" w:rsidRPr="00044E5A" w:rsidRDefault="00722370" w:rsidP="00044E5A">
            <w:pPr>
              <w:jc w:val="right"/>
              <w:rPr>
                <w:rFonts w:eastAsia="Times New Roman" w:cs="Calibri"/>
                <w:b/>
                <w:bCs/>
                <w:sz w:val="18"/>
                <w:szCs w:val="18"/>
              </w:rPr>
            </w:pPr>
            <w:r w:rsidRPr="00044E5A">
              <w:rPr>
                <w:rFonts w:eastAsia="Times New Roman" w:cs="Calibri"/>
                <w:b/>
                <w:bCs/>
                <w:sz w:val="18"/>
                <w:szCs w:val="18"/>
              </w:rPr>
              <w:t xml:space="preserve">                           -   </w:t>
            </w:r>
          </w:p>
        </w:tc>
        <w:tc>
          <w:tcPr>
            <w:tcW w:w="1741" w:type="dxa"/>
            <w:shd w:val="clear" w:color="DCE6F1" w:fill="BDD7EE"/>
            <w:noWrap/>
            <w:vAlign w:val="center"/>
            <w:hideMark/>
          </w:tcPr>
          <w:p w:rsidR="00722370" w:rsidRPr="00044E5A" w:rsidRDefault="00722370" w:rsidP="00044E5A">
            <w:pPr>
              <w:jc w:val="right"/>
              <w:rPr>
                <w:rFonts w:eastAsia="Times New Roman" w:cs="Calibri"/>
                <w:b/>
                <w:bCs/>
                <w:sz w:val="18"/>
                <w:szCs w:val="18"/>
              </w:rPr>
            </w:pPr>
            <w:r w:rsidRPr="00044E5A">
              <w:rPr>
                <w:rFonts w:eastAsia="Times New Roman" w:cs="Calibri"/>
                <w:b/>
                <w:bCs/>
                <w:sz w:val="18"/>
                <w:szCs w:val="18"/>
              </w:rPr>
              <w:t xml:space="preserve">   849,083,232 </w:t>
            </w:r>
          </w:p>
        </w:tc>
        <w:tc>
          <w:tcPr>
            <w:tcW w:w="1741" w:type="dxa"/>
            <w:shd w:val="clear" w:color="DCE6F1" w:fill="BDD7EE"/>
            <w:noWrap/>
            <w:vAlign w:val="center"/>
            <w:hideMark/>
          </w:tcPr>
          <w:p w:rsidR="00722370" w:rsidRPr="00044E5A" w:rsidRDefault="00722370" w:rsidP="00044E5A">
            <w:pPr>
              <w:jc w:val="right"/>
              <w:rPr>
                <w:rFonts w:eastAsia="Times New Roman" w:cs="Calibri"/>
                <w:b/>
                <w:bCs/>
                <w:sz w:val="18"/>
                <w:szCs w:val="18"/>
              </w:rPr>
            </w:pPr>
            <w:r w:rsidRPr="00044E5A">
              <w:rPr>
                <w:rFonts w:eastAsia="Times New Roman" w:cs="Calibri"/>
                <w:b/>
                <w:bCs/>
                <w:sz w:val="18"/>
                <w:szCs w:val="18"/>
              </w:rPr>
              <w:t xml:space="preserve">19,135,299,519 </w:t>
            </w:r>
          </w:p>
        </w:tc>
      </w:tr>
      <w:tr w:rsidR="00044E5A" w:rsidRPr="00044E5A" w:rsidTr="00F3029C">
        <w:trPr>
          <w:trHeight w:val="20"/>
          <w:tblHeader/>
        </w:trPr>
        <w:tc>
          <w:tcPr>
            <w:tcW w:w="423" w:type="dxa"/>
            <w:shd w:val="clear" w:color="auto" w:fill="4472C4" w:themeFill="accent5"/>
            <w:vAlign w:val="center"/>
          </w:tcPr>
          <w:p w:rsidR="00044E5A" w:rsidRPr="00044E5A" w:rsidRDefault="00044E5A" w:rsidP="00722370">
            <w:pPr>
              <w:jc w:val="center"/>
              <w:rPr>
                <w:rFonts w:eastAsia="Times New Roman" w:cs="Calibri"/>
                <w:b/>
                <w:bCs/>
                <w:sz w:val="16"/>
                <w:szCs w:val="16"/>
              </w:rPr>
            </w:pPr>
          </w:p>
        </w:tc>
        <w:tc>
          <w:tcPr>
            <w:tcW w:w="3490" w:type="dxa"/>
            <w:shd w:val="clear" w:color="auto" w:fill="4472C4" w:themeFill="accent5"/>
            <w:vAlign w:val="center"/>
          </w:tcPr>
          <w:p w:rsidR="00044E5A" w:rsidRPr="00044E5A" w:rsidRDefault="00044E5A" w:rsidP="00722370">
            <w:pPr>
              <w:rPr>
                <w:rFonts w:eastAsia="Times New Roman" w:cs="Calibri"/>
                <w:b/>
                <w:bCs/>
                <w:sz w:val="18"/>
                <w:szCs w:val="18"/>
              </w:rPr>
            </w:pPr>
            <w:r w:rsidRPr="00044E5A">
              <w:rPr>
                <w:rFonts w:eastAsia="Times New Roman" w:cs="Calibri"/>
                <w:b/>
                <w:bCs/>
                <w:sz w:val="18"/>
                <w:szCs w:val="18"/>
              </w:rPr>
              <w:t>Total</w:t>
            </w:r>
          </w:p>
        </w:tc>
        <w:tc>
          <w:tcPr>
            <w:tcW w:w="1741" w:type="dxa"/>
            <w:shd w:val="clear" w:color="auto" w:fill="4472C4" w:themeFill="accent5"/>
            <w:noWrap/>
            <w:vAlign w:val="center"/>
          </w:tcPr>
          <w:p w:rsidR="00044E5A" w:rsidRPr="00044E5A" w:rsidRDefault="00044E5A" w:rsidP="00044E5A">
            <w:pPr>
              <w:jc w:val="right"/>
              <w:rPr>
                <w:rFonts w:eastAsia="Times New Roman" w:cs="Calibri"/>
                <w:b/>
                <w:bCs/>
                <w:sz w:val="18"/>
                <w:szCs w:val="18"/>
              </w:rPr>
            </w:pPr>
            <w:r w:rsidRPr="00044E5A">
              <w:rPr>
                <w:rFonts w:eastAsia="Times New Roman" w:cs="Calibri"/>
                <w:b/>
                <w:bCs/>
                <w:sz w:val="18"/>
                <w:szCs w:val="18"/>
              </w:rPr>
              <w:t xml:space="preserve">195,643,775,205 </w:t>
            </w:r>
          </w:p>
        </w:tc>
        <w:tc>
          <w:tcPr>
            <w:tcW w:w="1741" w:type="dxa"/>
            <w:shd w:val="clear" w:color="auto" w:fill="4472C4" w:themeFill="accent5"/>
            <w:noWrap/>
            <w:vAlign w:val="center"/>
          </w:tcPr>
          <w:p w:rsidR="00044E5A" w:rsidRPr="00044E5A" w:rsidRDefault="00044E5A" w:rsidP="00044E5A">
            <w:pPr>
              <w:jc w:val="right"/>
              <w:rPr>
                <w:rFonts w:eastAsia="Times New Roman" w:cs="Calibri"/>
                <w:b/>
                <w:bCs/>
                <w:sz w:val="18"/>
                <w:szCs w:val="18"/>
              </w:rPr>
            </w:pPr>
            <w:r w:rsidRPr="00044E5A">
              <w:rPr>
                <w:rFonts w:eastAsia="Times New Roman" w:cs="Calibri"/>
                <w:b/>
                <w:bCs/>
                <w:sz w:val="18"/>
                <w:szCs w:val="18"/>
              </w:rPr>
              <w:t xml:space="preserve">  95,904,470,260 </w:t>
            </w:r>
          </w:p>
        </w:tc>
        <w:tc>
          <w:tcPr>
            <w:tcW w:w="1741" w:type="dxa"/>
            <w:shd w:val="clear" w:color="auto" w:fill="4472C4" w:themeFill="accent5"/>
            <w:noWrap/>
            <w:vAlign w:val="center"/>
          </w:tcPr>
          <w:p w:rsidR="00044E5A" w:rsidRPr="00044E5A" w:rsidRDefault="00044E5A" w:rsidP="00044E5A">
            <w:pPr>
              <w:jc w:val="right"/>
              <w:rPr>
                <w:rFonts w:eastAsia="Times New Roman" w:cs="Calibri"/>
                <w:b/>
                <w:bCs/>
                <w:sz w:val="18"/>
                <w:szCs w:val="18"/>
              </w:rPr>
            </w:pPr>
            <w:r w:rsidRPr="00044E5A">
              <w:rPr>
                <w:rFonts w:eastAsia="Times New Roman" w:cs="Calibri"/>
                <w:b/>
                <w:bCs/>
                <w:sz w:val="18"/>
                <w:szCs w:val="18"/>
              </w:rPr>
              <w:t xml:space="preserve">  2,300,000,000 </w:t>
            </w:r>
          </w:p>
        </w:tc>
        <w:tc>
          <w:tcPr>
            <w:tcW w:w="1741" w:type="dxa"/>
            <w:shd w:val="clear" w:color="auto" w:fill="4472C4" w:themeFill="accent5"/>
            <w:noWrap/>
            <w:vAlign w:val="center"/>
          </w:tcPr>
          <w:p w:rsidR="00044E5A" w:rsidRPr="00044E5A" w:rsidRDefault="00044E5A" w:rsidP="00044E5A">
            <w:pPr>
              <w:jc w:val="right"/>
              <w:rPr>
                <w:rFonts w:eastAsia="Times New Roman" w:cs="Calibri"/>
                <w:b/>
                <w:bCs/>
                <w:sz w:val="18"/>
                <w:szCs w:val="18"/>
              </w:rPr>
            </w:pPr>
            <w:r w:rsidRPr="00044E5A">
              <w:rPr>
                <w:rFonts w:eastAsia="Times New Roman" w:cs="Calibri"/>
                <w:b/>
                <w:bCs/>
                <w:sz w:val="18"/>
                <w:szCs w:val="18"/>
              </w:rPr>
              <w:t xml:space="preserve">17,365,000,000 </w:t>
            </w:r>
          </w:p>
        </w:tc>
        <w:tc>
          <w:tcPr>
            <w:tcW w:w="1741" w:type="dxa"/>
            <w:shd w:val="clear" w:color="auto" w:fill="4472C4" w:themeFill="accent5"/>
            <w:noWrap/>
            <w:vAlign w:val="center"/>
          </w:tcPr>
          <w:p w:rsidR="00044E5A" w:rsidRPr="00044E5A" w:rsidRDefault="00044E5A" w:rsidP="00044E5A">
            <w:pPr>
              <w:jc w:val="right"/>
              <w:rPr>
                <w:rFonts w:eastAsia="Times New Roman" w:cs="Calibri"/>
                <w:b/>
                <w:bCs/>
                <w:sz w:val="18"/>
                <w:szCs w:val="18"/>
              </w:rPr>
            </w:pPr>
            <w:r w:rsidRPr="00044E5A">
              <w:rPr>
                <w:rFonts w:eastAsia="Times New Roman" w:cs="Calibri"/>
                <w:b/>
                <w:bCs/>
                <w:sz w:val="18"/>
                <w:szCs w:val="18"/>
              </w:rPr>
              <w:t xml:space="preserve">  82,721,729,465 </w:t>
            </w:r>
          </w:p>
        </w:tc>
        <w:tc>
          <w:tcPr>
            <w:tcW w:w="1741" w:type="dxa"/>
            <w:shd w:val="clear" w:color="auto" w:fill="4472C4" w:themeFill="accent5"/>
            <w:noWrap/>
            <w:vAlign w:val="center"/>
          </w:tcPr>
          <w:p w:rsidR="00044E5A" w:rsidRPr="00044E5A" w:rsidRDefault="00044E5A" w:rsidP="00044E5A">
            <w:pPr>
              <w:jc w:val="right"/>
              <w:rPr>
                <w:rFonts w:eastAsia="Times New Roman" w:cs="Calibri"/>
                <w:b/>
                <w:bCs/>
                <w:sz w:val="18"/>
                <w:szCs w:val="18"/>
              </w:rPr>
            </w:pPr>
            <w:r w:rsidRPr="00044E5A">
              <w:rPr>
                <w:rFonts w:eastAsia="Times New Roman" w:cs="Calibri"/>
                <w:b/>
                <w:bCs/>
                <w:sz w:val="18"/>
                <w:szCs w:val="18"/>
              </w:rPr>
              <w:t xml:space="preserve">   399,417,934,931 </w:t>
            </w:r>
          </w:p>
        </w:tc>
      </w:tr>
    </w:tbl>
    <w:p w:rsidR="00845DE7" w:rsidRPr="005A49D3" w:rsidRDefault="00845DE7" w:rsidP="000B1D49">
      <w:pPr>
        <w:rPr>
          <w:szCs w:val="22"/>
          <w:lang w:bidi="ps-AF"/>
        </w:rPr>
      </w:pPr>
    </w:p>
    <w:p w:rsidR="00845DE7" w:rsidRPr="005A49D3" w:rsidRDefault="00845DE7" w:rsidP="000B1D49">
      <w:pPr>
        <w:rPr>
          <w:szCs w:val="22"/>
          <w:lang w:bidi="ps-AF"/>
        </w:rPr>
      </w:pPr>
    </w:p>
    <w:p w:rsidR="00845DE7" w:rsidRPr="005A49D3" w:rsidRDefault="00845DE7" w:rsidP="000B1D49">
      <w:pPr>
        <w:rPr>
          <w:szCs w:val="22"/>
          <w:lang w:bidi="ps-AF"/>
        </w:rPr>
      </w:pPr>
    </w:p>
    <w:p w:rsidR="00E27EE7" w:rsidRPr="005A49D3" w:rsidRDefault="00E27EE7" w:rsidP="000B1D49">
      <w:pPr>
        <w:rPr>
          <w:szCs w:val="22"/>
          <w:lang w:bidi="ps-AF"/>
        </w:rPr>
      </w:pPr>
    </w:p>
    <w:p w:rsidR="00E27EE7" w:rsidRPr="005A49D3" w:rsidRDefault="00E27EE7" w:rsidP="000B1D49">
      <w:pPr>
        <w:rPr>
          <w:szCs w:val="22"/>
          <w:lang w:bidi="ps-AF"/>
        </w:rPr>
      </w:pPr>
    </w:p>
    <w:p w:rsidR="00E27EE7" w:rsidRPr="005A49D3" w:rsidRDefault="00E27EE7" w:rsidP="000B1D49">
      <w:pPr>
        <w:rPr>
          <w:szCs w:val="22"/>
          <w:lang w:bidi="ps-AF"/>
        </w:rPr>
        <w:sectPr w:rsidR="00E27EE7" w:rsidRPr="005A49D3" w:rsidSect="009D6E9F">
          <w:pgSz w:w="16838" w:h="11906" w:orient="landscape" w:code="9"/>
          <w:pgMar w:top="1800" w:right="1440" w:bottom="1800" w:left="1440" w:header="720" w:footer="720" w:gutter="0"/>
          <w:cols w:space="708"/>
          <w:docGrid w:linePitch="360"/>
        </w:sectPr>
      </w:pPr>
    </w:p>
    <w:p w:rsidR="000B1D49" w:rsidRPr="00A94EB7" w:rsidRDefault="00C97BE2" w:rsidP="00A94EB7">
      <w:pPr>
        <w:pStyle w:val="Heading2"/>
        <w:rPr>
          <w:szCs w:val="32"/>
          <w:rtl/>
        </w:rPr>
      </w:pPr>
      <w:bookmarkStart w:id="54" w:name="_Toc535744275"/>
      <w:bookmarkStart w:id="55" w:name="_Toc535750204"/>
      <w:r w:rsidRPr="00A94EB7">
        <w:lastRenderedPageBreak/>
        <w:t>Operating</w:t>
      </w:r>
      <w:r w:rsidR="000B1D49" w:rsidRPr="00A94EB7">
        <w:t xml:space="preserve"> Budget</w:t>
      </w:r>
      <w:bookmarkEnd w:id="54"/>
      <w:bookmarkEnd w:id="55"/>
    </w:p>
    <w:p w:rsidR="000B1D49" w:rsidRPr="00F3029C" w:rsidRDefault="000B1D49" w:rsidP="00F3029C">
      <w:pPr>
        <w:spacing w:line="276" w:lineRule="auto"/>
        <w:jc w:val="both"/>
        <w:rPr>
          <w:szCs w:val="22"/>
          <w:lang w:bidi="ps-AF"/>
        </w:rPr>
      </w:pPr>
      <w:r w:rsidRPr="00F3029C">
        <w:rPr>
          <w:szCs w:val="22"/>
          <w:lang w:bidi="ps-AF"/>
        </w:rPr>
        <w:t>As compared to FY 1397 budget, the FY 1398 budget indicates a cut of 1.7%.  This cut is more in the non-salary expenditure codes. The salaries and wages code of the ordinary budget in FY 1398 has increased due to the following reasons:</w:t>
      </w:r>
    </w:p>
    <w:p w:rsidR="000B1D49" w:rsidRPr="00F3029C" w:rsidRDefault="000B1D49" w:rsidP="00873EC3">
      <w:pPr>
        <w:pStyle w:val="ListParagraph"/>
        <w:numPr>
          <w:ilvl w:val="0"/>
          <w:numId w:val="21"/>
        </w:numPr>
        <w:spacing w:line="276" w:lineRule="auto"/>
        <w:jc w:val="both"/>
        <w:rPr>
          <w:szCs w:val="22"/>
          <w:lang w:bidi="ps-AF"/>
        </w:rPr>
      </w:pPr>
      <w:r w:rsidRPr="00F3029C">
        <w:rPr>
          <w:szCs w:val="22"/>
          <w:lang w:bidi="ps-AF"/>
        </w:rPr>
        <w:t>Transference of the salary expenditures from some contingency codes to the concerned entities;</w:t>
      </w:r>
    </w:p>
    <w:p w:rsidR="000B1D49" w:rsidRPr="00F3029C" w:rsidRDefault="000B1D49" w:rsidP="00873EC3">
      <w:pPr>
        <w:pStyle w:val="ListParagraph"/>
        <w:numPr>
          <w:ilvl w:val="0"/>
          <w:numId w:val="21"/>
        </w:numPr>
        <w:spacing w:line="276" w:lineRule="auto"/>
        <w:jc w:val="both"/>
        <w:rPr>
          <w:szCs w:val="22"/>
          <w:lang w:bidi="ps-AF"/>
        </w:rPr>
      </w:pPr>
      <w:r w:rsidRPr="00F3029C">
        <w:rPr>
          <w:szCs w:val="22"/>
          <w:lang w:bidi="ps-AF"/>
        </w:rPr>
        <w:t>Inclusion of the approved Tashkeel in the mid-year review of the FY 1397 (e.g. increase of 4,000 positions in the National Directorate of Security);</w:t>
      </w:r>
    </w:p>
    <w:p w:rsidR="000B1D49" w:rsidRPr="00F3029C" w:rsidRDefault="000B1D49" w:rsidP="00873EC3">
      <w:pPr>
        <w:pStyle w:val="ListParagraph"/>
        <w:numPr>
          <w:ilvl w:val="0"/>
          <w:numId w:val="21"/>
        </w:numPr>
        <w:spacing w:line="276" w:lineRule="auto"/>
        <w:jc w:val="both"/>
        <w:rPr>
          <w:szCs w:val="22"/>
          <w:lang w:bidi="ps-AF"/>
        </w:rPr>
      </w:pPr>
      <w:r w:rsidRPr="00F3029C">
        <w:rPr>
          <w:szCs w:val="22"/>
          <w:lang w:bidi="ps-AF"/>
        </w:rPr>
        <w:t>Provision of coupon to relatives of the security forces martyrs;</w:t>
      </w:r>
    </w:p>
    <w:p w:rsidR="000B1D49" w:rsidRPr="00F3029C" w:rsidRDefault="000B1D49" w:rsidP="00873EC3">
      <w:pPr>
        <w:pStyle w:val="ListParagraph"/>
        <w:numPr>
          <w:ilvl w:val="0"/>
          <w:numId w:val="21"/>
        </w:numPr>
        <w:spacing w:line="276" w:lineRule="auto"/>
        <w:jc w:val="both"/>
        <w:rPr>
          <w:szCs w:val="22"/>
          <w:lang w:bidi="ps-AF"/>
        </w:rPr>
      </w:pPr>
      <w:r w:rsidRPr="00F3029C">
        <w:rPr>
          <w:szCs w:val="22"/>
          <w:lang w:bidi="ps-AF"/>
        </w:rPr>
        <w:t>Increase in the food cost of the students;</w:t>
      </w:r>
    </w:p>
    <w:p w:rsidR="000B1D49" w:rsidRPr="00F3029C" w:rsidRDefault="000B1D49" w:rsidP="00873EC3">
      <w:pPr>
        <w:pStyle w:val="ListParagraph"/>
        <w:numPr>
          <w:ilvl w:val="0"/>
          <w:numId w:val="21"/>
        </w:numPr>
        <w:spacing w:line="276" w:lineRule="auto"/>
        <w:jc w:val="both"/>
        <w:rPr>
          <w:szCs w:val="22"/>
          <w:lang w:bidi="ps-AF"/>
        </w:rPr>
      </w:pPr>
      <w:r w:rsidRPr="00F3029C">
        <w:rPr>
          <w:szCs w:val="22"/>
          <w:lang w:bidi="ps-AF"/>
        </w:rPr>
        <w:t>Difference of the educational and super-skill document allowances;</w:t>
      </w:r>
    </w:p>
    <w:p w:rsidR="000B1D49" w:rsidRPr="00F3029C" w:rsidRDefault="000B1D49" w:rsidP="00873EC3">
      <w:pPr>
        <w:pStyle w:val="ListParagraph"/>
        <w:numPr>
          <w:ilvl w:val="0"/>
          <w:numId w:val="21"/>
        </w:numPr>
        <w:spacing w:line="276" w:lineRule="auto"/>
        <w:jc w:val="both"/>
        <w:rPr>
          <w:szCs w:val="22"/>
          <w:lang w:bidi="ps-AF"/>
        </w:rPr>
      </w:pPr>
      <w:r w:rsidRPr="00F3029C">
        <w:rPr>
          <w:szCs w:val="22"/>
          <w:lang w:bidi="ps-AF"/>
        </w:rPr>
        <w:t>Difference of the steps;</w:t>
      </w:r>
    </w:p>
    <w:p w:rsidR="000B1D49" w:rsidRPr="00F3029C" w:rsidRDefault="000B1D49" w:rsidP="00873EC3">
      <w:pPr>
        <w:pStyle w:val="ListParagraph"/>
        <w:numPr>
          <w:ilvl w:val="0"/>
          <w:numId w:val="21"/>
        </w:numPr>
        <w:spacing w:line="276" w:lineRule="auto"/>
        <w:jc w:val="both"/>
        <w:rPr>
          <w:szCs w:val="22"/>
          <w:lang w:bidi="ps-AF"/>
        </w:rPr>
      </w:pPr>
      <w:r w:rsidRPr="00F3029C">
        <w:rPr>
          <w:szCs w:val="22"/>
          <w:lang w:bidi="ps-AF"/>
        </w:rPr>
        <w:t>Payment of cadre, academic and specialized benefits to doctors which was processed from the contingency code last year;</w:t>
      </w:r>
    </w:p>
    <w:p w:rsidR="000B1D49" w:rsidRPr="00F3029C" w:rsidRDefault="000B1D49" w:rsidP="00873EC3">
      <w:pPr>
        <w:pStyle w:val="ListParagraph"/>
        <w:numPr>
          <w:ilvl w:val="0"/>
          <w:numId w:val="21"/>
        </w:numPr>
        <w:spacing w:line="276" w:lineRule="auto"/>
        <w:jc w:val="both"/>
        <w:rPr>
          <w:szCs w:val="22"/>
          <w:rtl/>
          <w:lang w:bidi="ps-AF"/>
        </w:rPr>
      </w:pPr>
      <w:r w:rsidRPr="00F3029C">
        <w:rPr>
          <w:szCs w:val="22"/>
          <w:lang w:bidi="ps-AF"/>
        </w:rPr>
        <w:t>New positions in the newly established entities.</w:t>
      </w:r>
    </w:p>
    <w:p w:rsidR="000B1D49" w:rsidRPr="00A94EB7" w:rsidRDefault="000B1D49" w:rsidP="00A94EB7">
      <w:pPr>
        <w:pStyle w:val="Heading2"/>
        <w:rPr>
          <w:szCs w:val="32"/>
          <w:rtl/>
        </w:rPr>
      </w:pPr>
      <w:bookmarkStart w:id="56" w:name="_Toc535744276"/>
      <w:bookmarkStart w:id="57" w:name="_Toc535750205"/>
      <w:r w:rsidRPr="00A94EB7">
        <w:t>Development Budget</w:t>
      </w:r>
      <w:bookmarkEnd w:id="56"/>
      <w:bookmarkEnd w:id="57"/>
    </w:p>
    <w:p w:rsidR="000B1D49" w:rsidRPr="00F3029C" w:rsidRDefault="000B1D49" w:rsidP="00F3029C">
      <w:pPr>
        <w:spacing w:line="276" w:lineRule="auto"/>
        <w:jc w:val="both"/>
        <w:rPr>
          <w:szCs w:val="22"/>
          <w:lang w:bidi="ps-AF"/>
        </w:rPr>
      </w:pPr>
      <w:r w:rsidRPr="00F3029C">
        <w:rPr>
          <w:szCs w:val="22"/>
          <w:lang w:bidi="ps-AF"/>
        </w:rPr>
        <w:t>The FY 1398 budget is planned to be about 2.7</w:t>
      </w:r>
      <w:bookmarkStart w:id="58" w:name="_GoBack"/>
      <w:bookmarkEnd w:id="58"/>
      <w:r w:rsidRPr="00F3029C">
        <w:rPr>
          <w:szCs w:val="22"/>
          <w:lang w:bidi="ps-AF"/>
        </w:rPr>
        <w:t>% less than the expenditures of the FY 1397. This is mainly due to the conservative estimation of the non-discretionary funds that will be increased in the course of the fiscal year as the budget annex considering the spending abiity of the entities and donors’ commitment.</w:t>
      </w:r>
    </w:p>
    <w:p w:rsidR="00981E78" w:rsidRPr="00A94EB7" w:rsidRDefault="000B1D49" w:rsidP="00A94EB7">
      <w:pPr>
        <w:pStyle w:val="Heading3"/>
        <w:rPr>
          <w:szCs w:val="28"/>
          <w:rtl/>
        </w:rPr>
      </w:pPr>
      <w:bookmarkStart w:id="59" w:name="_Toc535744277"/>
      <w:bookmarkStart w:id="60" w:name="_Toc535750206"/>
      <w:r w:rsidRPr="00A94EB7">
        <w:t>New Key Development Activities in FY 1398 Budget</w:t>
      </w:r>
      <w:bookmarkEnd w:id="59"/>
      <w:bookmarkEnd w:id="60"/>
    </w:p>
    <w:p w:rsidR="000B1D49" w:rsidRPr="00F3029C" w:rsidRDefault="000B1D49" w:rsidP="00F3029C">
      <w:pPr>
        <w:spacing w:line="276" w:lineRule="auto"/>
        <w:jc w:val="both"/>
        <w:rPr>
          <w:szCs w:val="22"/>
          <w:lang w:bidi="ps-AF"/>
        </w:rPr>
      </w:pPr>
      <w:r w:rsidRPr="00F3029C">
        <w:rPr>
          <w:szCs w:val="22"/>
          <w:lang w:bidi="ps-AF"/>
        </w:rPr>
        <w:t>In FY 1398, a total of about 46 new development projects are included, most of which were considered following inclusive assessments by the Ministry of Economy or the Ministry of Finance Deputy Ministry for Policy and on the basis of the standard concept note. Changes in the approach of projects assessment may result in these projects effective implementation and achievement of the objectives contrary to the projects of the previous year.</w:t>
      </w:r>
      <w:bookmarkStart w:id="61" w:name="_Toc529090686"/>
      <w:bookmarkStart w:id="62" w:name="_Toc529119677"/>
    </w:p>
    <w:p w:rsidR="000B1D49" w:rsidRPr="00A94EB7" w:rsidRDefault="000B1D49" w:rsidP="000B1D49">
      <w:pPr>
        <w:pStyle w:val="Caption"/>
        <w:keepNext/>
        <w:bidi w:val="0"/>
        <w:rPr>
          <w:rFonts w:ascii="Times New Roman" w:hAnsi="Times New Roman" w:cs="Times New Roman"/>
          <w:sz w:val="4"/>
          <w:szCs w:val="4"/>
        </w:rPr>
      </w:pPr>
    </w:p>
    <w:p w:rsidR="00264556" w:rsidRPr="00264556" w:rsidRDefault="00264556" w:rsidP="00264556">
      <w:pPr>
        <w:pStyle w:val="Caption"/>
        <w:bidi w:val="0"/>
        <w:jc w:val="left"/>
        <w:rPr>
          <w:rFonts w:ascii="Garamond" w:hAnsi="Garamond"/>
          <w:sz w:val="22"/>
          <w:szCs w:val="22"/>
        </w:rPr>
      </w:pPr>
      <w:bookmarkStart w:id="63" w:name="_Toc535750266"/>
      <w:r w:rsidRPr="00264556">
        <w:rPr>
          <w:rFonts w:ascii="Garamond" w:hAnsi="Garamond"/>
          <w:sz w:val="22"/>
          <w:szCs w:val="22"/>
        </w:rPr>
        <w:t xml:space="preserve">Table </w:t>
      </w:r>
      <w:r w:rsidRPr="00264556">
        <w:rPr>
          <w:rFonts w:ascii="Garamond" w:hAnsi="Garamond"/>
          <w:sz w:val="22"/>
          <w:szCs w:val="22"/>
        </w:rPr>
        <w:fldChar w:fldCharType="begin"/>
      </w:r>
      <w:r w:rsidRPr="00264556">
        <w:rPr>
          <w:rFonts w:ascii="Garamond" w:hAnsi="Garamond"/>
          <w:sz w:val="22"/>
          <w:szCs w:val="22"/>
        </w:rPr>
        <w:instrText xml:space="preserve"> SEQ Table \* ARABIC </w:instrText>
      </w:r>
      <w:r w:rsidRPr="00264556">
        <w:rPr>
          <w:rFonts w:ascii="Garamond" w:hAnsi="Garamond"/>
          <w:sz w:val="22"/>
          <w:szCs w:val="22"/>
        </w:rPr>
        <w:fldChar w:fldCharType="separate"/>
      </w:r>
      <w:r w:rsidR="00862183">
        <w:rPr>
          <w:rFonts w:ascii="Garamond" w:hAnsi="Garamond"/>
          <w:noProof/>
          <w:sz w:val="22"/>
          <w:szCs w:val="22"/>
        </w:rPr>
        <w:t>5</w:t>
      </w:r>
      <w:r w:rsidRPr="00264556">
        <w:rPr>
          <w:rFonts w:ascii="Garamond" w:hAnsi="Garamond"/>
          <w:sz w:val="22"/>
          <w:szCs w:val="22"/>
        </w:rPr>
        <w:fldChar w:fldCharType="end"/>
      </w:r>
      <w:r>
        <w:rPr>
          <w:rFonts w:ascii="Garamond" w:hAnsi="Garamond"/>
          <w:sz w:val="22"/>
          <w:szCs w:val="22"/>
        </w:rPr>
        <w:t xml:space="preserve"> </w:t>
      </w:r>
      <w:r w:rsidRPr="00264556">
        <w:rPr>
          <w:rFonts w:ascii="Garamond" w:hAnsi="Garamond"/>
          <w:sz w:val="22"/>
          <w:szCs w:val="22"/>
        </w:rPr>
        <w:t>1398 New Projects List</w:t>
      </w:r>
      <w:bookmarkEnd w:id="63"/>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23"/>
        <w:gridCol w:w="1502"/>
        <w:gridCol w:w="4239"/>
        <w:gridCol w:w="1257"/>
        <w:gridCol w:w="1015"/>
      </w:tblGrid>
      <w:tr w:rsidR="000B1D49" w:rsidRPr="00F3029C" w:rsidTr="00F3029C">
        <w:trPr>
          <w:trHeight w:val="390"/>
          <w:tblHeader/>
          <w:jc w:val="center"/>
        </w:trPr>
        <w:tc>
          <w:tcPr>
            <w:tcW w:w="0" w:type="auto"/>
            <w:shd w:val="clear" w:color="000000" w:fill="DDEBF7"/>
            <w:noWrap/>
            <w:tcMar>
              <w:top w:w="15" w:type="dxa"/>
              <w:left w:w="15" w:type="dxa"/>
              <w:bottom w:w="0" w:type="dxa"/>
              <w:right w:w="15" w:type="dxa"/>
            </w:tcMar>
            <w:vAlign w:val="center"/>
            <w:hideMark/>
          </w:tcPr>
          <w:bookmarkEnd w:id="61"/>
          <w:bookmarkEnd w:id="62"/>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No.</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Organization</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Title</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Donor</w:t>
            </w:r>
            <w:r w:rsidRPr="00F3029C">
              <w:rPr>
                <w:rFonts w:eastAsia="Times New Roman" w:cs="Times New Roman"/>
                <w:b/>
                <w:bCs/>
                <w:sz w:val="18"/>
                <w:szCs w:val="18"/>
                <w:rtl/>
              </w:rPr>
              <w:t xml:space="preserve">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1398 Budget</w:t>
            </w:r>
          </w:p>
        </w:tc>
      </w:tr>
      <w:tr w:rsidR="000B1D49" w:rsidRPr="00F3029C" w:rsidTr="00F3029C">
        <w:trPr>
          <w:trHeight w:val="375"/>
          <w:jc w:val="center"/>
        </w:trPr>
        <w:tc>
          <w:tcPr>
            <w:tcW w:w="0" w:type="auto"/>
            <w:gridSpan w:val="4"/>
            <w:shd w:val="clear" w:color="auto" w:fill="ACB9CA"/>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tl/>
              </w:rPr>
              <w:t> </w:t>
            </w:r>
          </w:p>
          <w:p w:rsidR="000B1D49" w:rsidRPr="00F3029C" w:rsidRDefault="00F3029C" w:rsidP="00EA09AE">
            <w:pPr>
              <w:rPr>
                <w:rFonts w:eastAsia="Times New Roman" w:cs="Times New Roman"/>
                <w:b/>
                <w:bCs/>
                <w:sz w:val="18"/>
                <w:szCs w:val="18"/>
              </w:rPr>
            </w:pPr>
            <w:r>
              <w:rPr>
                <w:rFonts w:eastAsia="Times New Roman" w:cs="Times New Roman"/>
                <w:b/>
                <w:bCs/>
                <w:sz w:val="18"/>
                <w:szCs w:val="18"/>
              </w:rPr>
              <w:t>Total</w:t>
            </w:r>
          </w:p>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auto" w:fill="ACB9CA"/>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3,370,072,948</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tl/>
              </w:rPr>
              <w:t> </w:t>
            </w: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Ministry of National Defense</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10,000,000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AFG/590213</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Establish infrastructure and systems for the Directorate of Finance of the Ministry of Defense</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Independent Directorate of Local Governance</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38,720,000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AFG/590213</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Employment creation project</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World Bank</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3,720,000</w:t>
            </w:r>
          </w:p>
        </w:tc>
      </w:tr>
      <w:tr w:rsidR="000B1D49" w:rsidRPr="00F3029C" w:rsidTr="00F3029C">
        <w:trPr>
          <w:trHeight w:val="28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AFG/590214</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Establish development institutions in 7 zones</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35,000,000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Ministry of Communication &amp; Information Technology</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45,000,000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AFG/340117</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 xml:space="preserve">Government resources planning and management </w:t>
            </w:r>
            <w:r w:rsidR="00D64EB1" w:rsidRPr="00F3029C">
              <w:rPr>
                <w:rFonts w:eastAsia="Times New Roman" w:cs="Times New Roman"/>
                <w:sz w:val="18"/>
                <w:szCs w:val="18"/>
              </w:rPr>
              <w:t>system</w:t>
            </w:r>
            <w:r w:rsidRPr="00F3029C">
              <w:rPr>
                <w:rFonts w:eastAsia="Times New Roman" w:cs="Times New Roman"/>
                <w:sz w:val="18"/>
                <w:szCs w:val="18"/>
              </w:rPr>
              <w:t>,</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lastRenderedPageBreak/>
              <w:t>5</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AFG/340118</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Infrastructure for electronic certifications</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6</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AFG/340119</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Establish traffic system for the post items</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25,000,000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Kabul Municipality</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20,000,000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AFG/790099</w:t>
            </w:r>
          </w:p>
        </w:tc>
        <w:tc>
          <w:tcPr>
            <w:tcW w:w="0" w:type="auto"/>
            <w:shd w:val="clear" w:color="000000" w:fill="FFFFFF"/>
            <w:tcMar>
              <w:top w:w="15" w:type="dxa"/>
              <w:left w:w="15" w:type="dxa"/>
              <w:bottom w:w="0" w:type="dxa"/>
              <w:right w:w="15" w:type="dxa"/>
            </w:tcMar>
            <w:vAlign w:val="center"/>
            <w:hideMark/>
          </w:tcPr>
          <w:p w:rsidR="000B1D49" w:rsidRPr="00F3029C" w:rsidRDefault="00D64EB1" w:rsidP="00EA09AE">
            <w:pPr>
              <w:rPr>
                <w:rFonts w:eastAsia="Times New Roman" w:cs="Times New Roman"/>
                <w:sz w:val="18"/>
                <w:szCs w:val="18"/>
              </w:rPr>
            </w:pPr>
            <w:r w:rsidRPr="00D64EB1">
              <w:rPr>
                <w:rFonts w:eastAsia="Times New Roman" w:cs="Times New Roman"/>
                <w:sz w:val="18"/>
                <w:szCs w:val="18"/>
              </w:rPr>
              <w:t>Sura-e-Shamali and Deh Afghanan Flyover Design and Survey</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20,000,000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lang w:bidi="ps-AF"/>
              </w:rPr>
            </w:pPr>
            <w:r w:rsidRPr="00F3029C">
              <w:rPr>
                <w:rFonts w:eastAsia="Times New Roman" w:cs="Times New Roman"/>
                <w:b/>
                <w:bCs/>
                <w:sz w:val="18"/>
                <w:szCs w:val="18"/>
                <w:lang w:bidi="ps-AF"/>
              </w:rPr>
              <w:t>Capital Region Independent Development Authority</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50,000,000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8</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AFG/840029</w:t>
            </w:r>
          </w:p>
        </w:tc>
        <w:tc>
          <w:tcPr>
            <w:tcW w:w="0" w:type="auto"/>
            <w:shd w:val="clear" w:color="000000" w:fill="FFFFFF"/>
            <w:tcMar>
              <w:top w:w="15" w:type="dxa"/>
              <w:left w:w="15" w:type="dxa"/>
              <w:bottom w:w="0" w:type="dxa"/>
              <w:right w:w="15" w:type="dxa"/>
            </w:tcMar>
            <w:vAlign w:val="center"/>
            <w:hideMark/>
          </w:tcPr>
          <w:p w:rsidR="000B1D49" w:rsidRPr="00F3029C" w:rsidRDefault="00D64EB1" w:rsidP="00EA09AE">
            <w:pPr>
              <w:rPr>
                <w:rFonts w:eastAsia="Times New Roman" w:cs="Times New Roman"/>
                <w:sz w:val="18"/>
                <w:szCs w:val="18"/>
              </w:rPr>
            </w:pPr>
            <w:r w:rsidRPr="00D64EB1">
              <w:rPr>
                <w:rFonts w:eastAsia="Times New Roman" w:cs="Times New Roman"/>
                <w:sz w:val="18"/>
                <w:szCs w:val="18"/>
              </w:rPr>
              <w:t>Establishment of 4 transportation terminals in entrance &amp; exit points of the Kabul City</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50,000,000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Ministry of Water and Energy</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80,000,000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9</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AFG/410780</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Feasibility studies and design of water dams in five river zones of the country</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75,000,000</w:t>
            </w:r>
          </w:p>
        </w:tc>
      </w:tr>
      <w:tr w:rsidR="000B1D49" w:rsidRPr="00F3029C" w:rsidTr="00F3029C">
        <w:trPr>
          <w:trHeight w:val="28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AFG/410781</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Establish water stream from Kaj Darahi Kishn Abad up to Faj village of Andarab district</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D64EB1" w:rsidP="00EA09AE">
            <w:pPr>
              <w:rPr>
                <w:rFonts w:eastAsia="Times New Roman" w:cs="Times New Roman"/>
                <w:b/>
                <w:bCs/>
                <w:sz w:val="18"/>
                <w:szCs w:val="18"/>
                <w:lang w:bidi="ps-AF"/>
              </w:rPr>
            </w:pPr>
            <w:r w:rsidRPr="00D64EB1">
              <w:rPr>
                <w:rFonts w:eastAsia="Times New Roman" w:cs="Times New Roman"/>
                <w:b/>
                <w:bCs/>
                <w:sz w:val="18"/>
                <w:szCs w:val="18"/>
                <w:lang w:bidi="ps-AF"/>
              </w:rPr>
              <w:t>Ministry of Urban Development Affairs &amp; Land Management</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596,000,000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11</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AFG/490512</w:t>
            </w:r>
          </w:p>
        </w:tc>
        <w:tc>
          <w:tcPr>
            <w:tcW w:w="0" w:type="auto"/>
            <w:shd w:val="clear" w:color="000000" w:fill="FFFFFF"/>
            <w:tcMar>
              <w:top w:w="15" w:type="dxa"/>
              <w:left w:w="15" w:type="dxa"/>
              <w:bottom w:w="0" w:type="dxa"/>
              <w:right w:w="15" w:type="dxa"/>
            </w:tcMar>
            <w:vAlign w:val="center"/>
            <w:hideMark/>
          </w:tcPr>
          <w:p w:rsidR="000B1D49" w:rsidRPr="00F3029C" w:rsidRDefault="00D64EB1" w:rsidP="00EA09AE">
            <w:pPr>
              <w:rPr>
                <w:rFonts w:eastAsia="Times New Roman" w:cs="Times New Roman"/>
                <w:sz w:val="18"/>
                <w:szCs w:val="18"/>
              </w:rPr>
            </w:pPr>
            <w:r w:rsidRPr="00D64EB1">
              <w:rPr>
                <w:rFonts w:eastAsia="Times New Roman" w:cs="Times New Roman"/>
                <w:sz w:val="18"/>
                <w:szCs w:val="18"/>
              </w:rPr>
              <w:t>China Aided Project</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26,000,000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12</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AFG/490513</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Construct admin complex of the Ministries of Mining and Public Works in Khwaja Rawashi Ghaznawi town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550,000,000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13</w:t>
            </w:r>
          </w:p>
        </w:tc>
        <w:tc>
          <w:tcPr>
            <w:tcW w:w="0" w:type="auto"/>
            <w:shd w:val="clear" w:color="000000" w:fill="FFFFFF"/>
            <w:noWrap/>
            <w:tcMar>
              <w:top w:w="15" w:type="dxa"/>
              <w:left w:w="15" w:type="dxa"/>
              <w:bottom w:w="0" w:type="dxa"/>
              <w:right w:w="15" w:type="dxa"/>
            </w:tcMar>
            <w:vAlign w:val="center"/>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AFG/490517</w:t>
            </w:r>
          </w:p>
        </w:tc>
        <w:tc>
          <w:tcPr>
            <w:tcW w:w="0" w:type="auto"/>
            <w:shd w:val="clear" w:color="000000" w:fill="FFFFFF"/>
            <w:tcMar>
              <w:top w:w="15" w:type="dxa"/>
              <w:left w:w="15" w:type="dxa"/>
              <w:bottom w:w="0" w:type="dxa"/>
              <w:right w:w="15" w:type="dxa"/>
            </w:tcMar>
            <w:vAlign w:val="center"/>
          </w:tcPr>
          <w:p w:rsidR="000B1D49" w:rsidRPr="00F3029C" w:rsidRDefault="000B1D49" w:rsidP="00EA09AE">
            <w:pPr>
              <w:rPr>
                <w:rFonts w:eastAsia="Times New Roman" w:cs="Times New Roman"/>
                <w:sz w:val="18"/>
                <w:szCs w:val="18"/>
                <w:rtl/>
              </w:rPr>
            </w:pPr>
            <w:r w:rsidRPr="00F3029C">
              <w:rPr>
                <w:rFonts w:eastAsia="Times New Roman" w:cs="Times New Roman"/>
                <w:sz w:val="18"/>
                <w:szCs w:val="18"/>
              </w:rPr>
              <w:t>Building design and studies in the new parliament complex</w:t>
            </w:r>
          </w:p>
        </w:tc>
        <w:tc>
          <w:tcPr>
            <w:tcW w:w="0" w:type="auto"/>
            <w:shd w:val="clear" w:color="auto" w:fill="auto"/>
            <w:tcMar>
              <w:top w:w="15" w:type="dxa"/>
              <w:left w:w="15" w:type="dxa"/>
              <w:bottom w:w="0" w:type="dxa"/>
              <w:right w:w="15" w:type="dxa"/>
            </w:tcMar>
            <w:vAlign w:val="center"/>
          </w:tcPr>
          <w:p w:rsidR="000B1D49" w:rsidRPr="00F3029C" w:rsidRDefault="000B1D49" w:rsidP="00EA09AE">
            <w:pPr>
              <w:jc w:val="center"/>
              <w:rPr>
                <w:rFonts w:eastAsia="Times New Roman" w:cs="Times New Roman"/>
                <w:sz w:val="18"/>
                <w:szCs w:val="18"/>
                <w:rtl/>
              </w:rPr>
            </w:pPr>
          </w:p>
        </w:tc>
        <w:tc>
          <w:tcPr>
            <w:tcW w:w="0" w:type="auto"/>
            <w:shd w:val="clear" w:color="auto" w:fill="auto"/>
            <w:tcMar>
              <w:top w:w="15" w:type="dxa"/>
              <w:left w:w="15" w:type="dxa"/>
              <w:bottom w:w="0" w:type="dxa"/>
              <w:right w:w="15" w:type="dxa"/>
            </w:tcMar>
            <w:vAlign w:val="center"/>
          </w:tcPr>
          <w:p w:rsidR="000B1D49" w:rsidRPr="00F3029C" w:rsidRDefault="000B1D49" w:rsidP="00EA09AE">
            <w:pPr>
              <w:jc w:val="center"/>
              <w:rPr>
                <w:rFonts w:eastAsia="Times New Roman" w:cs="Times New Roman"/>
                <w:sz w:val="18"/>
                <w:szCs w:val="18"/>
                <w:lang w:bidi="ps-AF"/>
              </w:rPr>
            </w:pPr>
            <w:r w:rsidRPr="00F3029C">
              <w:rPr>
                <w:rFonts w:eastAsia="Times New Roman" w:cs="Times New Roman"/>
                <w:sz w:val="18"/>
                <w:szCs w:val="18"/>
                <w:lang w:bidi="ps-AF"/>
              </w:rPr>
              <w:t>20,000,000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Directorate General of National Radio &amp; Television</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40,000,000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14</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AFG/160022</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Purchase technical equipment for the studios</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40,000,000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Ministry of Higher Education</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480,000,000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15</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AFG/280321</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Purchase equipment for universities and hostels</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80,000,000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16</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AFG/280322</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Universities and higher education institutes enhancement and development program</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400,000,000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Ministry of Information and Culture</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36,000,000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17</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AFG/360287</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Enhance publications</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18</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AFG/360288</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Enhance culture</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19</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AFG/360289</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Capacity building for technical and professional staff</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6,000,000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Technical and Vocational Educations and Trainings Authority</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20,000,000</w:t>
            </w:r>
          </w:p>
        </w:tc>
      </w:tr>
      <w:tr w:rsidR="000B1D49" w:rsidRPr="00F3029C" w:rsidTr="00F3029C">
        <w:trPr>
          <w:trHeight w:val="540"/>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20</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AFG/400008</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p>
          <w:p w:rsidR="000B1D49" w:rsidRPr="00F3029C" w:rsidRDefault="000B1D49" w:rsidP="00EA09AE">
            <w:pPr>
              <w:rPr>
                <w:rFonts w:eastAsia="Times New Roman" w:cs="Times New Roman"/>
                <w:sz w:val="18"/>
                <w:szCs w:val="18"/>
              </w:rPr>
            </w:pPr>
            <w:r w:rsidRPr="00F3029C">
              <w:rPr>
                <w:rFonts w:eastAsia="Times New Roman" w:cs="Times New Roman"/>
                <w:sz w:val="18"/>
                <w:szCs w:val="18"/>
              </w:rPr>
              <w:t>Complete the remaining work of the 300 bed hostel of femal administration institute and building of 30 classroom institute of administration and management of computer in Herat</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20,000,000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Ministry of Public Health</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564,599,000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21</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AFG/370881</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Enhance the national authority on accreditation of health cares</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22</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AFG/370882</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Deliver health services to repatriations</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European Union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484,199,000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lastRenderedPageBreak/>
              <w:t>23</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AFG/370883</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Support the council of nurses and midwives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10,000,000</w:t>
            </w:r>
          </w:p>
        </w:tc>
      </w:tr>
      <w:tr w:rsidR="000B1D49" w:rsidRPr="00F3029C" w:rsidTr="00F3029C">
        <w:trPr>
          <w:trHeight w:val="28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24</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AFG/370886</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Public awareness on Congo disease</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20,000,000</w:t>
            </w:r>
          </w:p>
        </w:tc>
      </w:tr>
      <w:tr w:rsidR="000B1D49" w:rsidRPr="00F3029C" w:rsidTr="00F3029C">
        <w:trPr>
          <w:trHeight w:val="28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25</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AFG/370885</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Survey, design and construct the emergency and teromotology hospital in Herat</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40,400,000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Ministry of Agriculture, Irrigation and Livestock</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96,300,000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26</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AFG/390765</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Expand investment and marketing of agricultural products</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26,300,000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27</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AFG/390766</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Establish household nurseries in Paktia, Paktika an Khost provinces</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28</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AFG/390767</w:t>
            </w:r>
          </w:p>
        </w:tc>
        <w:tc>
          <w:tcPr>
            <w:tcW w:w="0" w:type="auto"/>
            <w:shd w:val="clear" w:color="000000" w:fill="FFFFFF"/>
            <w:tcMar>
              <w:top w:w="15" w:type="dxa"/>
              <w:left w:w="15" w:type="dxa"/>
              <w:bottom w:w="0" w:type="dxa"/>
              <w:right w:w="15" w:type="dxa"/>
            </w:tcMar>
            <w:vAlign w:val="center"/>
            <w:hideMark/>
          </w:tcPr>
          <w:p w:rsidR="000B1D49" w:rsidRPr="00F3029C" w:rsidRDefault="00627377" w:rsidP="00EA09AE">
            <w:pPr>
              <w:rPr>
                <w:rFonts w:eastAsia="Times New Roman" w:cs="Times New Roman"/>
                <w:sz w:val="18"/>
                <w:szCs w:val="18"/>
              </w:rPr>
            </w:pPr>
            <w:r w:rsidRPr="00627377">
              <w:rPr>
                <w:rFonts w:eastAsia="Times New Roman" w:cs="Times New Roman"/>
                <w:sz w:val="18"/>
                <w:szCs w:val="18"/>
              </w:rPr>
              <w:t>Nomad's Development project( Agriculture)</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20,000,000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Ministry of Rural Rehabilitation and Development</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793,600,000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29</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AFG/430488</w:t>
            </w:r>
          </w:p>
        </w:tc>
        <w:tc>
          <w:tcPr>
            <w:tcW w:w="0" w:type="auto"/>
            <w:shd w:val="clear" w:color="000000" w:fill="FFFFFF"/>
            <w:tcMar>
              <w:top w:w="15" w:type="dxa"/>
              <w:left w:w="15" w:type="dxa"/>
              <w:bottom w:w="0" w:type="dxa"/>
              <w:right w:w="15" w:type="dxa"/>
            </w:tcMar>
            <w:vAlign w:val="center"/>
            <w:hideMark/>
          </w:tcPr>
          <w:p w:rsidR="000B1D49" w:rsidRPr="00F3029C" w:rsidRDefault="00627377" w:rsidP="00EA09AE">
            <w:pPr>
              <w:rPr>
                <w:rFonts w:eastAsia="Times New Roman" w:cs="Times New Roman"/>
                <w:sz w:val="18"/>
                <w:szCs w:val="18"/>
              </w:rPr>
            </w:pPr>
            <w:r w:rsidRPr="00627377">
              <w:rPr>
                <w:rFonts w:eastAsia="Times New Roman" w:cs="Times New Roman"/>
                <w:sz w:val="18"/>
                <w:szCs w:val="18"/>
              </w:rPr>
              <w:t>Nomad's Development Project</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30,000,000</w:t>
            </w:r>
          </w:p>
        </w:tc>
      </w:tr>
      <w:tr w:rsidR="000B1D49" w:rsidRPr="00F3029C" w:rsidTr="00F3029C">
        <w:trPr>
          <w:trHeight w:val="570"/>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30</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AFG/430489</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Agriculture development international fund for rural development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International Organization on Agricultural Development</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762,600,000</w:t>
            </w:r>
          </w:p>
        </w:tc>
      </w:tr>
      <w:tr w:rsidR="000B1D49" w:rsidRPr="00F3029C" w:rsidTr="00F3029C">
        <w:trPr>
          <w:trHeight w:val="28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31</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AFG/390713</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Agriculture in urban and urban vicinity regions and in family economy</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Kuwait</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Ministry of Pub</w:t>
            </w:r>
            <w:r w:rsidR="002A06A9">
              <w:rPr>
                <w:rFonts w:eastAsia="Times New Roman" w:cs="Times New Roman"/>
                <w:b/>
                <w:bCs/>
                <w:sz w:val="18"/>
                <w:szCs w:val="18"/>
              </w:rPr>
              <w:t>l</w:t>
            </w:r>
            <w:r w:rsidRPr="00F3029C">
              <w:rPr>
                <w:rFonts w:eastAsia="Times New Roman" w:cs="Times New Roman"/>
                <w:b/>
                <w:bCs/>
                <w:sz w:val="18"/>
                <w:szCs w:val="18"/>
              </w:rPr>
              <w:t>ic Works</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45,000,000</w:t>
            </w:r>
          </w:p>
        </w:tc>
      </w:tr>
      <w:tr w:rsidR="000B1D49" w:rsidRPr="00F3029C" w:rsidTr="00F3029C">
        <w:trPr>
          <w:trHeight w:val="28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32</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AFG/420570</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tl/>
              </w:rPr>
            </w:pPr>
            <w:r w:rsidRPr="00F3029C">
              <w:rPr>
                <w:rFonts w:eastAsia="Times New Roman" w:cs="Times New Roman"/>
                <w:sz w:val="18"/>
                <w:szCs w:val="18"/>
              </w:rPr>
              <w:t>Survey, design and construct 300m bridge in Kandahar and 1 km bridge in Darqad district of Takhar</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30,000,000</w:t>
            </w:r>
          </w:p>
        </w:tc>
      </w:tr>
      <w:tr w:rsidR="000B1D49" w:rsidRPr="00F3029C" w:rsidTr="00F3029C">
        <w:trPr>
          <w:trHeight w:val="28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33</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AFG/420571</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Ring road from Dogh Aabi up to Karkar-e-Puli Madan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5,000,000</w:t>
            </w:r>
          </w:p>
        </w:tc>
      </w:tr>
      <w:tr w:rsidR="000B1D49" w:rsidRPr="00F3029C" w:rsidTr="00F3029C">
        <w:trPr>
          <w:trHeight w:val="28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34</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AFG/420572</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Construct road (phase 1 and 2) from Nawabad of Kama district up to Sankarsarai</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Ministry of Works, Social Affairs, Martyrs and Disabled</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37,315,948</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35</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AFG/470249</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Dispatching of labor to abroad and employment opportunities inside the country</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World Bank</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37,315,948</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Ministry of Women Affairs</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42,000,000</w:t>
            </w:r>
          </w:p>
        </w:tc>
      </w:tr>
      <w:tr w:rsidR="000B1D49" w:rsidRPr="00F3029C" w:rsidTr="00F3029C">
        <w:trPr>
          <w:trHeight w:val="570"/>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36</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AFG/380143</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Enhance the process of implementation of national and international commitments and gender equity and capacity building and women campaign and printing and publishing of brochures</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42,000,000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Ministry of Economy</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59,480,000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37</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AFG/350075</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Employment opportunities program</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World Bank</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5,000,000</w:t>
            </w:r>
          </w:p>
        </w:tc>
      </w:tr>
      <w:tr w:rsidR="000B1D49" w:rsidRPr="00F3029C" w:rsidTr="00F3029C">
        <w:trPr>
          <w:trHeight w:val="570"/>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38</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AFG/350077</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Fundamental enhancement of the basic duties of Ministry of Economy (planning and assessment, economic analysis, sustainable development goals and transparency and accountability of the NGOs)</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54,480,000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Directorate General of Kochis</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20,000,000</w:t>
            </w:r>
          </w:p>
        </w:tc>
      </w:tr>
      <w:tr w:rsidR="000B1D49" w:rsidRPr="00F3029C" w:rsidTr="00F3029C">
        <w:trPr>
          <w:trHeight w:val="28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39</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AFG/760015</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Capacity building, research and policy making</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20,000,000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lang w:bidi="ps-AF"/>
              </w:rPr>
            </w:pPr>
            <w:r w:rsidRPr="00F3029C">
              <w:rPr>
                <w:rFonts w:eastAsia="Times New Roman" w:cs="Times New Roman"/>
                <w:b/>
                <w:bCs/>
                <w:sz w:val="18"/>
                <w:szCs w:val="18"/>
                <w:lang w:bidi="ps-AF"/>
              </w:rPr>
              <w:t>Afghanistan National Standard Authority</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36,058,000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40</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AFG/580045</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Procurement of tentative carpet laboratory equipment</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 xml:space="preserve">Government of </w:t>
            </w:r>
            <w:r w:rsidRPr="00F3029C">
              <w:rPr>
                <w:rFonts w:eastAsia="Times New Roman" w:cs="Times New Roman"/>
                <w:sz w:val="18"/>
                <w:szCs w:val="18"/>
              </w:rPr>
              <w:lastRenderedPageBreak/>
              <w:t>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lastRenderedPageBreak/>
              <w:t>16,750,000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41</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AFG/580046</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Establish central database system for the organization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3,015,000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42</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AFG/580047</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Procurement and activation of the electricity and fuel laboratories of the center</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16,293,000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National Statistics Organization</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210,000,000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43</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AFG/730015</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Kabul population survey project</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44</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AFG/730016</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Education survey project</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70,000,000</w:t>
            </w:r>
          </w:p>
        </w:tc>
      </w:tr>
      <w:tr w:rsidR="000B1D49" w:rsidRPr="00F3029C" w:rsidTr="00F3029C">
        <w:trPr>
          <w:trHeight w:val="34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45</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AFG/730017</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Project on verification of the area under cultivation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70,000,000</w:t>
            </w:r>
          </w:p>
        </w:tc>
      </w:tr>
      <w:tr w:rsidR="000B1D49" w:rsidRPr="00F3029C" w:rsidTr="00F3029C">
        <w:trPr>
          <w:trHeight w:val="375"/>
          <w:jc w:val="center"/>
        </w:trPr>
        <w:tc>
          <w:tcPr>
            <w:tcW w:w="0" w:type="auto"/>
            <w:shd w:val="clear" w:color="000000" w:fill="DDEBF7"/>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p>
        </w:tc>
        <w:tc>
          <w:tcPr>
            <w:tcW w:w="0" w:type="auto"/>
            <w:gridSpan w:val="2"/>
            <w:shd w:val="clear" w:color="000000" w:fill="DDEBF7"/>
            <w:noWrap/>
            <w:tcMar>
              <w:top w:w="15" w:type="dxa"/>
              <w:left w:w="15" w:type="dxa"/>
              <w:bottom w:w="0" w:type="dxa"/>
              <w:right w:w="15" w:type="dxa"/>
            </w:tcMar>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Supreme Audit Office</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 </w:t>
            </w:r>
          </w:p>
        </w:tc>
        <w:tc>
          <w:tcPr>
            <w:tcW w:w="0" w:type="auto"/>
            <w:shd w:val="clear" w:color="000000" w:fill="DDEBF7"/>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50,000,000</w:t>
            </w:r>
          </w:p>
        </w:tc>
      </w:tr>
      <w:tr w:rsidR="000B1D49" w:rsidRPr="00F3029C" w:rsidTr="00F3029C">
        <w:trPr>
          <w:trHeight w:val="285"/>
          <w:jc w:val="center"/>
        </w:trPr>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46</w:t>
            </w:r>
          </w:p>
        </w:tc>
        <w:tc>
          <w:tcPr>
            <w:tcW w:w="0" w:type="auto"/>
            <w:shd w:val="clear" w:color="000000" w:fill="FFFFFF"/>
            <w:noWrap/>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AFG/660026</w:t>
            </w:r>
          </w:p>
        </w:tc>
        <w:tc>
          <w:tcPr>
            <w:tcW w:w="0" w:type="auto"/>
            <w:shd w:val="clear" w:color="000000" w:fill="FFFFFF"/>
            <w:tcMar>
              <w:top w:w="15" w:type="dxa"/>
              <w:left w:w="15" w:type="dxa"/>
              <w:bottom w:w="0" w:type="dxa"/>
              <w:right w:w="15" w:type="dxa"/>
            </w:tcMar>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Framework contract of hiring reliable international companies to audit the state-owned enterprises</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Government of Afghanistan</w:t>
            </w:r>
          </w:p>
        </w:tc>
        <w:tc>
          <w:tcPr>
            <w:tcW w:w="0" w:type="auto"/>
            <w:shd w:val="clear" w:color="auto" w:fill="auto"/>
            <w:tcMar>
              <w:top w:w="15" w:type="dxa"/>
              <w:left w:w="15" w:type="dxa"/>
              <w:bottom w:w="0" w:type="dxa"/>
              <w:right w:w="15" w:type="dxa"/>
            </w:tcMar>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50,000,000</w:t>
            </w:r>
          </w:p>
        </w:tc>
      </w:tr>
    </w:tbl>
    <w:p w:rsidR="000B1D49" w:rsidRPr="005A49D3" w:rsidRDefault="000B1D49" w:rsidP="000B1D49">
      <w:pPr>
        <w:rPr>
          <w:rFonts w:ascii="Times New Roman" w:eastAsia="Times New Roman" w:hAnsi="Times New Roman" w:cs="Times New Roman"/>
          <w:b/>
          <w:bCs/>
          <w:color w:val="8496B0"/>
          <w:szCs w:val="22"/>
        </w:rPr>
      </w:pPr>
    </w:p>
    <w:p w:rsidR="000B1D49" w:rsidRPr="00A94EB7" w:rsidRDefault="000B1D49" w:rsidP="00A94EB7">
      <w:pPr>
        <w:pStyle w:val="Heading2"/>
        <w:rPr>
          <w:szCs w:val="32"/>
          <w:rtl/>
        </w:rPr>
      </w:pPr>
      <w:bookmarkStart w:id="64" w:name="_Toc535744278"/>
      <w:bookmarkStart w:id="65" w:name="_Toc535750207"/>
      <w:r w:rsidRPr="00A94EB7">
        <w:t>1398 Mid-Year Review Budget</w:t>
      </w:r>
      <w:bookmarkEnd w:id="64"/>
      <w:bookmarkEnd w:id="65"/>
    </w:p>
    <w:p w:rsidR="000B1D49" w:rsidRPr="00F3029C" w:rsidRDefault="000B1D49" w:rsidP="00F3029C">
      <w:pPr>
        <w:spacing w:line="276" w:lineRule="auto"/>
        <w:jc w:val="both"/>
        <w:rPr>
          <w:szCs w:val="22"/>
          <w:lang w:bidi="ps-AF"/>
        </w:rPr>
      </w:pPr>
      <w:r w:rsidRPr="00F3029C">
        <w:rPr>
          <w:szCs w:val="22"/>
          <w:lang w:bidi="ps-AF"/>
        </w:rPr>
        <w:t>The fiscal year 1398 provides realistic estimates in which the spending ability of the organizations is taken into account. More attention is paid to the precise budget planning, in which the gap between planned and actual budgets should be at the least minimal. On the other hand, making the expenditures target-oriented is an important issue for which the government is always observant. This issue is considered to the possible extent in the 1398 budget, but it is a continuous process and is necessary to be considered as one of the objectives in the mid-year review of the budget for 1398. In the mid-year review for 1398 budget, transferring funds from poorly implemented projects to projects that are performing better with a view to the available funding resources will be considered. This may reduce the budget of some organizations if their spending is not satisfactory. This is precisely based on the rule of "use it or lose it" which is accepted globally.</w:t>
      </w:r>
    </w:p>
    <w:p w:rsidR="000B1D49" w:rsidRPr="00A94EB7" w:rsidRDefault="000B1D49" w:rsidP="00A94EB7">
      <w:pPr>
        <w:pStyle w:val="Heading2"/>
      </w:pPr>
      <w:bookmarkStart w:id="66" w:name="_Toc535744279"/>
      <w:bookmarkStart w:id="67" w:name="_Toc535750208"/>
      <w:r w:rsidRPr="00A94EB7">
        <w:t>Receipts and Aid (Revenue)</w:t>
      </w:r>
      <w:bookmarkEnd w:id="66"/>
      <w:bookmarkEnd w:id="67"/>
    </w:p>
    <w:p w:rsidR="000B1D49" w:rsidRPr="00F3029C" w:rsidRDefault="000B1D49" w:rsidP="00F3029C">
      <w:pPr>
        <w:spacing w:line="276" w:lineRule="auto"/>
        <w:jc w:val="both"/>
        <w:rPr>
          <w:szCs w:val="22"/>
          <w:lang w:bidi="ps-AF"/>
        </w:rPr>
      </w:pPr>
      <w:r w:rsidRPr="00F3029C">
        <w:rPr>
          <w:szCs w:val="22"/>
          <w:lang w:bidi="ps-AF"/>
        </w:rPr>
        <w:t>This section provides details on receipts or revenue and aid (international development assistance). This year the Government has provided significantly more details on own-source domestic revenue as well as providing estimates for the current year, the budget year and three forward years. This is a significantly higher level of disclosure than in previous years and brings Afghanistan into line with good international practice.</w:t>
      </w:r>
    </w:p>
    <w:p w:rsidR="000B1D49" w:rsidRPr="00F3029C" w:rsidRDefault="000B1D49" w:rsidP="00F3029C">
      <w:pPr>
        <w:spacing w:line="276" w:lineRule="auto"/>
        <w:jc w:val="both"/>
        <w:rPr>
          <w:szCs w:val="22"/>
          <w:lang w:bidi="ps-AF"/>
        </w:rPr>
      </w:pPr>
      <w:r w:rsidRPr="00F3029C">
        <w:rPr>
          <w:szCs w:val="22"/>
          <w:lang w:bidi="ps-AF"/>
        </w:rPr>
        <w:t>In this section, the Government also presents estimates of future support from our international partners for 1398 and three additional years. These estimates are based on current commitments and for the first time present a detailed and consolidated picture of the resources available to Afghanistan over the next four years. The forward estimates go beyond the end of donor commitments made in Warsaw and Brussels and have not attempted to pre-empt future discussions about support for Afghanistan by international partners. Only current commitments are included.</w:t>
      </w:r>
    </w:p>
    <w:p w:rsidR="00C97BE2" w:rsidRPr="005A49D3" w:rsidRDefault="00C97BE2" w:rsidP="000B1D49">
      <w:pPr>
        <w:rPr>
          <w:rFonts w:ascii="Times New Roman" w:eastAsia="Times New Roman" w:hAnsi="Times New Roman" w:cs="Times New Roman"/>
          <w:b/>
          <w:bCs/>
          <w:color w:val="8496B0"/>
          <w:szCs w:val="22"/>
        </w:rPr>
      </w:pPr>
    </w:p>
    <w:p w:rsidR="000B1D49" w:rsidRPr="00A94EB7" w:rsidRDefault="000B1D49" w:rsidP="00A94EB7">
      <w:pPr>
        <w:pStyle w:val="Heading2"/>
        <w:rPr>
          <w:rFonts w:eastAsia="Calibri"/>
        </w:rPr>
      </w:pPr>
      <w:bookmarkStart w:id="68" w:name="_Toc535744280"/>
      <w:bookmarkStart w:id="69" w:name="_Toc535750209"/>
      <w:r w:rsidRPr="00A94EB7">
        <w:rPr>
          <w:rFonts w:eastAsia="Calibri"/>
        </w:rPr>
        <w:lastRenderedPageBreak/>
        <w:t>Revenue Outlook (1396-1401)</w:t>
      </w:r>
      <w:bookmarkEnd w:id="68"/>
      <w:bookmarkEnd w:id="69"/>
    </w:p>
    <w:p w:rsidR="000B1D49" w:rsidRPr="00F3029C" w:rsidRDefault="000B1D49" w:rsidP="00F3029C">
      <w:pPr>
        <w:spacing w:line="276" w:lineRule="auto"/>
        <w:jc w:val="both"/>
        <w:rPr>
          <w:szCs w:val="22"/>
          <w:lang w:bidi="ps-AF"/>
        </w:rPr>
      </w:pPr>
      <w:r w:rsidRPr="00F3029C">
        <w:rPr>
          <w:szCs w:val="22"/>
          <w:lang w:bidi="ps-AF"/>
        </w:rPr>
        <w:t xml:space="preserve">The revenue forecasting </w:t>
      </w:r>
      <w:r w:rsidR="00895B23" w:rsidRPr="00F3029C">
        <w:rPr>
          <w:szCs w:val="22"/>
          <w:lang w:bidi="ps-AF"/>
        </w:rPr>
        <w:t>a</w:t>
      </w:r>
      <w:r w:rsidR="00060FE4" w:rsidRPr="00F3029C">
        <w:rPr>
          <w:szCs w:val="22"/>
          <w:lang w:bidi="ps-AF"/>
        </w:rPr>
        <w:t>ssumption include</w:t>
      </w:r>
      <w:r w:rsidR="00F3029C" w:rsidRPr="00F3029C">
        <w:rPr>
          <w:szCs w:val="22"/>
          <w:lang w:bidi="ps-AF"/>
        </w:rPr>
        <w:t>s</w:t>
      </w:r>
      <w:r w:rsidRPr="00F3029C">
        <w:rPr>
          <w:szCs w:val="22"/>
          <w:lang w:bidi="ps-AF"/>
        </w:rPr>
        <w:t xml:space="preserve">: </w:t>
      </w:r>
    </w:p>
    <w:p w:rsidR="000B1D49" w:rsidRPr="00F3029C" w:rsidRDefault="000B1D49" w:rsidP="00873EC3">
      <w:pPr>
        <w:pStyle w:val="ListParagraph"/>
        <w:numPr>
          <w:ilvl w:val="0"/>
          <w:numId w:val="22"/>
        </w:numPr>
        <w:spacing w:line="276" w:lineRule="auto"/>
        <w:jc w:val="both"/>
        <w:rPr>
          <w:szCs w:val="22"/>
          <w:lang w:bidi="ps-AF"/>
        </w:rPr>
      </w:pPr>
      <w:r w:rsidRPr="00F3029C">
        <w:rPr>
          <w:szCs w:val="22"/>
          <w:lang w:bidi="ps-AF"/>
        </w:rPr>
        <w:t xml:space="preserve">Revenue forecasting for the current year’s budget and the years ahead is carried out on the basis of an individual revenue line and is developed through </w:t>
      </w:r>
      <w:r w:rsidR="00060FE4" w:rsidRPr="00F3029C">
        <w:rPr>
          <w:szCs w:val="22"/>
          <w:lang w:bidi="ps-AF"/>
        </w:rPr>
        <w:t>certain</w:t>
      </w:r>
      <w:r w:rsidRPr="00F3029C">
        <w:rPr>
          <w:szCs w:val="22"/>
          <w:lang w:bidi="ps-AF"/>
        </w:rPr>
        <w:t xml:space="preserve"> </w:t>
      </w:r>
      <w:r w:rsidR="00895B23" w:rsidRPr="00F3029C">
        <w:rPr>
          <w:szCs w:val="22"/>
          <w:lang w:bidi="ps-AF"/>
        </w:rPr>
        <w:t>a</w:t>
      </w:r>
      <w:r w:rsidR="00060FE4" w:rsidRPr="00F3029C">
        <w:rPr>
          <w:szCs w:val="22"/>
          <w:lang w:bidi="ps-AF"/>
        </w:rPr>
        <w:t xml:space="preserve">ssumption </w:t>
      </w:r>
      <w:r w:rsidRPr="00F3029C">
        <w:rPr>
          <w:szCs w:val="22"/>
          <w:lang w:bidi="ps-AF"/>
        </w:rPr>
        <w:t>of macro economy such as GDP, GDP deflator, GDP by secondary sectors, domestic inflation, international inflation, imports growth, productivity, revenue measures, etc.</w:t>
      </w:r>
    </w:p>
    <w:p w:rsidR="000B1D49" w:rsidRPr="00F3029C" w:rsidRDefault="000B1D49" w:rsidP="00873EC3">
      <w:pPr>
        <w:pStyle w:val="ListParagraph"/>
        <w:numPr>
          <w:ilvl w:val="0"/>
          <w:numId w:val="22"/>
        </w:numPr>
        <w:spacing w:line="276" w:lineRule="auto"/>
        <w:jc w:val="both"/>
        <w:rPr>
          <w:szCs w:val="22"/>
          <w:lang w:bidi="ps-AF"/>
        </w:rPr>
      </w:pPr>
      <w:r w:rsidRPr="00F3029C">
        <w:rPr>
          <w:szCs w:val="22"/>
          <w:lang w:bidi="ps-AF"/>
        </w:rPr>
        <w:t xml:space="preserve">Revenue estimations from TAPI project and other revenues resulting from transfers are considered in the revenue forecasting of the coming years.    </w:t>
      </w:r>
    </w:p>
    <w:p w:rsidR="000B1D49" w:rsidRPr="00A94EB7" w:rsidRDefault="000B1D49" w:rsidP="00A94EB7">
      <w:pPr>
        <w:pStyle w:val="Heading3"/>
      </w:pPr>
      <w:bookmarkStart w:id="70" w:name="_Toc535744281"/>
      <w:bookmarkStart w:id="71" w:name="_Toc535750210"/>
      <w:r w:rsidRPr="00A94EB7">
        <w:t>Domestic Revenue Outlook</w:t>
      </w:r>
      <w:bookmarkEnd w:id="70"/>
      <w:bookmarkEnd w:id="71"/>
    </w:p>
    <w:p w:rsidR="00060FE4" w:rsidRDefault="000B1D49" w:rsidP="00F3029C">
      <w:pPr>
        <w:spacing w:line="276" w:lineRule="auto"/>
        <w:jc w:val="both"/>
        <w:rPr>
          <w:szCs w:val="22"/>
          <w:lang w:bidi="ps-AF"/>
        </w:rPr>
      </w:pPr>
      <w:r w:rsidRPr="00F3029C">
        <w:rPr>
          <w:szCs w:val="22"/>
          <w:lang w:bidi="ps-AF"/>
        </w:rPr>
        <w:t>The outlook for domestic revenue is positive over the medium term. Estimated domestic revenue fo</w:t>
      </w:r>
      <w:r w:rsidR="00A63611">
        <w:rPr>
          <w:szCs w:val="22"/>
          <w:lang w:bidi="ps-AF"/>
        </w:rPr>
        <w:t>r 1397 (2018) is at around AFN</w:t>
      </w:r>
      <w:r w:rsidRPr="00F3029C">
        <w:rPr>
          <w:szCs w:val="22"/>
          <w:lang w:bidi="ps-AF"/>
        </w:rPr>
        <w:t>173.5 billion, though we expect more collection over the budget forecast. This is driven by an increase in the collection efficiency and an increase in the exchange rate which affects the custom value on the imported goods and reforms in tax administration in general. Following are the assumptions used for the revenue forecast on o</w:t>
      </w:r>
      <w:r w:rsidR="00F3029C">
        <w:rPr>
          <w:szCs w:val="22"/>
          <w:lang w:bidi="ps-AF"/>
        </w:rPr>
        <w:t xml:space="preserve">bject level where appropriate. </w:t>
      </w:r>
    </w:p>
    <w:p w:rsidR="00264556" w:rsidRPr="00264556" w:rsidRDefault="00264556" w:rsidP="00F3029C">
      <w:pPr>
        <w:spacing w:line="276" w:lineRule="auto"/>
        <w:jc w:val="both"/>
        <w:rPr>
          <w:sz w:val="6"/>
          <w:szCs w:val="6"/>
          <w:lang w:bidi="ps-AF"/>
        </w:rPr>
      </w:pPr>
    </w:p>
    <w:p w:rsidR="00264556" w:rsidRPr="00264556" w:rsidRDefault="00264556" w:rsidP="00264556">
      <w:pPr>
        <w:pStyle w:val="Caption"/>
        <w:bidi w:val="0"/>
        <w:jc w:val="left"/>
        <w:rPr>
          <w:rFonts w:ascii="Garamond" w:hAnsi="Garamond"/>
          <w:sz w:val="22"/>
          <w:szCs w:val="22"/>
        </w:rPr>
      </w:pPr>
      <w:bookmarkStart w:id="72" w:name="_Toc535750267"/>
      <w:r w:rsidRPr="00264556">
        <w:rPr>
          <w:rFonts w:ascii="Garamond" w:hAnsi="Garamond"/>
          <w:sz w:val="22"/>
          <w:szCs w:val="22"/>
        </w:rPr>
        <w:t xml:space="preserve">Table </w:t>
      </w:r>
      <w:r w:rsidRPr="00264556">
        <w:rPr>
          <w:rFonts w:ascii="Garamond" w:hAnsi="Garamond"/>
          <w:sz w:val="22"/>
          <w:szCs w:val="22"/>
        </w:rPr>
        <w:fldChar w:fldCharType="begin"/>
      </w:r>
      <w:r w:rsidRPr="00264556">
        <w:rPr>
          <w:rFonts w:ascii="Garamond" w:hAnsi="Garamond"/>
          <w:sz w:val="22"/>
          <w:szCs w:val="22"/>
        </w:rPr>
        <w:instrText xml:space="preserve"> SEQ Table \* ARABIC </w:instrText>
      </w:r>
      <w:r w:rsidRPr="00264556">
        <w:rPr>
          <w:rFonts w:ascii="Garamond" w:hAnsi="Garamond"/>
          <w:sz w:val="22"/>
          <w:szCs w:val="22"/>
        </w:rPr>
        <w:fldChar w:fldCharType="separate"/>
      </w:r>
      <w:r w:rsidR="00862183">
        <w:rPr>
          <w:rFonts w:ascii="Garamond" w:hAnsi="Garamond"/>
          <w:noProof/>
          <w:sz w:val="22"/>
          <w:szCs w:val="22"/>
        </w:rPr>
        <w:t>6</w:t>
      </w:r>
      <w:r w:rsidRPr="00264556">
        <w:rPr>
          <w:rFonts w:ascii="Garamond" w:hAnsi="Garamond"/>
          <w:sz w:val="22"/>
          <w:szCs w:val="22"/>
        </w:rPr>
        <w:fldChar w:fldCharType="end"/>
      </w:r>
      <w:r>
        <w:rPr>
          <w:rFonts w:ascii="Garamond" w:hAnsi="Garamond"/>
          <w:sz w:val="22"/>
          <w:szCs w:val="22"/>
        </w:rPr>
        <w:t xml:space="preserve"> </w:t>
      </w:r>
      <w:r w:rsidRPr="00264556">
        <w:rPr>
          <w:rFonts w:ascii="Garamond" w:hAnsi="Garamond"/>
          <w:sz w:val="22"/>
          <w:szCs w:val="22"/>
        </w:rPr>
        <w:t>Revenue Forecasts Assumptions</w:t>
      </w:r>
      <w:bookmarkEnd w:id="72"/>
    </w:p>
    <w:tbl>
      <w:tblPr>
        <w:tblW w:w="5000" w:type="pct"/>
        <w:jc w:val="center"/>
        <w:tblLook w:val="04A0" w:firstRow="1" w:lastRow="0" w:firstColumn="1" w:lastColumn="0" w:noHBand="0" w:noVBand="1"/>
      </w:tblPr>
      <w:tblGrid>
        <w:gridCol w:w="1935"/>
        <w:gridCol w:w="997"/>
        <w:gridCol w:w="1118"/>
        <w:gridCol w:w="1118"/>
        <w:gridCol w:w="1118"/>
        <w:gridCol w:w="1118"/>
        <w:gridCol w:w="1118"/>
      </w:tblGrid>
      <w:tr w:rsidR="000B1D49" w:rsidRPr="00F3029C" w:rsidTr="00E0532A">
        <w:trPr>
          <w:trHeight w:val="296"/>
          <w:jc w:val="center"/>
        </w:trPr>
        <w:tc>
          <w:tcPr>
            <w:tcW w:w="1885" w:type="dxa"/>
            <w:tcBorders>
              <w:top w:val="single" w:sz="4" w:space="0" w:color="auto"/>
              <w:left w:val="single" w:sz="4" w:space="0" w:color="auto"/>
              <w:bottom w:val="single" w:sz="8" w:space="0" w:color="CAD4CD"/>
              <w:right w:val="single" w:sz="8" w:space="0" w:color="CAD4CD"/>
            </w:tcBorders>
            <w:shd w:val="clear" w:color="auto" w:fill="9CC2E5" w:themeFill="accent1" w:themeFillTint="99"/>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 </w:t>
            </w:r>
          </w:p>
        </w:tc>
        <w:tc>
          <w:tcPr>
            <w:tcW w:w="971" w:type="dxa"/>
            <w:tcBorders>
              <w:top w:val="single" w:sz="4" w:space="0" w:color="auto"/>
              <w:left w:val="nil"/>
              <w:bottom w:val="single" w:sz="8" w:space="0" w:color="CAD4CD"/>
              <w:right w:val="single" w:sz="8" w:space="0" w:color="E2EFD9"/>
            </w:tcBorders>
            <w:shd w:val="clear" w:color="auto" w:fill="9CC2E5" w:themeFill="accent1" w:themeFillTint="99"/>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1396</w:t>
            </w:r>
          </w:p>
        </w:tc>
        <w:tc>
          <w:tcPr>
            <w:tcW w:w="1088" w:type="dxa"/>
            <w:tcBorders>
              <w:top w:val="single" w:sz="4" w:space="0" w:color="auto"/>
              <w:left w:val="nil"/>
              <w:bottom w:val="single" w:sz="8" w:space="0" w:color="CAD4CD"/>
              <w:right w:val="single" w:sz="8" w:space="0" w:color="E2EFD9"/>
            </w:tcBorders>
            <w:shd w:val="clear" w:color="auto" w:fill="9CC2E5" w:themeFill="accent1" w:themeFillTint="99"/>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1397</w:t>
            </w:r>
          </w:p>
        </w:tc>
        <w:tc>
          <w:tcPr>
            <w:tcW w:w="1088" w:type="dxa"/>
            <w:tcBorders>
              <w:top w:val="single" w:sz="4" w:space="0" w:color="auto"/>
              <w:left w:val="nil"/>
              <w:bottom w:val="single" w:sz="8" w:space="0" w:color="CAD4CD"/>
              <w:right w:val="single" w:sz="8" w:space="0" w:color="E2EFD9"/>
            </w:tcBorders>
            <w:shd w:val="clear" w:color="auto" w:fill="9CC2E5" w:themeFill="accent1" w:themeFillTint="99"/>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1398</w:t>
            </w:r>
          </w:p>
        </w:tc>
        <w:tc>
          <w:tcPr>
            <w:tcW w:w="1088" w:type="dxa"/>
            <w:tcBorders>
              <w:top w:val="single" w:sz="4" w:space="0" w:color="auto"/>
              <w:left w:val="nil"/>
              <w:bottom w:val="single" w:sz="8" w:space="0" w:color="CAD4CD"/>
              <w:right w:val="single" w:sz="8" w:space="0" w:color="E2EFD9"/>
            </w:tcBorders>
            <w:shd w:val="clear" w:color="auto" w:fill="9CC2E5" w:themeFill="accent1" w:themeFillTint="99"/>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1399</w:t>
            </w:r>
          </w:p>
        </w:tc>
        <w:tc>
          <w:tcPr>
            <w:tcW w:w="1088" w:type="dxa"/>
            <w:tcBorders>
              <w:top w:val="single" w:sz="4" w:space="0" w:color="auto"/>
              <w:left w:val="nil"/>
              <w:bottom w:val="single" w:sz="8" w:space="0" w:color="CAD4CD"/>
              <w:right w:val="single" w:sz="8" w:space="0" w:color="E2EFD9"/>
            </w:tcBorders>
            <w:shd w:val="clear" w:color="auto" w:fill="9CC2E5" w:themeFill="accent1" w:themeFillTint="99"/>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1400</w:t>
            </w:r>
          </w:p>
        </w:tc>
        <w:tc>
          <w:tcPr>
            <w:tcW w:w="1088" w:type="dxa"/>
            <w:tcBorders>
              <w:top w:val="single" w:sz="4" w:space="0" w:color="auto"/>
              <w:left w:val="nil"/>
              <w:bottom w:val="single" w:sz="8" w:space="0" w:color="CAD4CD"/>
              <w:right w:val="single" w:sz="4" w:space="0" w:color="auto"/>
            </w:tcBorders>
            <w:shd w:val="clear" w:color="auto" w:fill="9CC2E5" w:themeFill="accent1" w:themeFillTint="99"/>
            <w:vAlign w:val="center"/>
            <w:hideMark/>
          </w:tcPr>
          <w:p w:rsidR="000B1D49" w:rsidRPr="00F3029C" w:rsidRDefault="000B1D49" w:rsidP="00EA09AE">
            <w:pPr>
              <w:jc w:val="center"/>
              <w:rPr>
                <w:rFonts w:eastAsia="Times New Roman" w:cs="Times New Roman"/>
                <w:b/>
                <w:bCs/>
                <w:sz w:val="18"/>
                <w:szCs w:val="18"/>
              </w:rPr>
            </w:pPr>
            <w:r w:rsidRPr="00F3029C">
              <w:rPr>
                <w:rFonts w:eastAsia="Times New Roman" w:cs="Times New Roman"/>
                <w:b/>
                <w:bCs/>
                <w:sz w:val="18"/>
                <w:szCs w:val="18"/>
              </w:rPr>
              <w:t>1401</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Indices</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 </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 </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 </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 </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 </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rPr>
                <w:rFonts w:eastAsia="Times New Roman" w:cs="Times New Roman"/>
                <w:sz w:val="18"/>
                <w:szCs w:val="18"/>
              </w:rPr>
            </w:pPr>
            <w:r w:rsidRPr="00F3029C">
              <w:rPr>
                <w:rFonts w:eastAsia="Times New Roman" w:cs="Times New Roman"/>
                <w:sz w:val="18"/>
                <w:szCs w:val="18"/>
              </w:rPr>
              <w:t> </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Average CPI</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Average CPI plus ERC</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13%</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6%</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6%</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Deflator</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Deflator plus ERC</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11%</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EOP CPI</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8%</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EOP CPI plus ERC</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12%</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6%</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ERC</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8%</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0%</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0%</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0%</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0%</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0%</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Food CPI</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8%</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Food CPI plus ERC</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14%</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8%</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6%</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6%</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8%</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M2</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6%</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8%</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8%</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8%</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8%</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NGDP</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8%</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9%</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NGDP Agriculture</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9%</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NGDP Manufacturing</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10%</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NGDP Services</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8%</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9%</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9%</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9%</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Non-Food CPI</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w:t>
            </w:r>
          </w:p>
        </w:tc>
      </w:tr>
      <w:tr w:rsidR="000B1D49" w:rsidRPr="00F3029C" w:rsidTr="00895B23">
        <w:trPr>
          <w:trHeight w:val="410"/>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Non-Food CPI plus ERC</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12%</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3%</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4%</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Population</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Population and CPI</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7%</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5%</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6%</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6%</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6%</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6%</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F3029C">
            <w:pPr>
              <w:ind w:firstLineChars="100" w:firstLine="180"/>
              <w:rPr>
                <w:rFonts w:eastAsia="Times New Roman" w:cs="Times New Roman"/>
                <w:sz w:val="18"/>
                <w:szCs w:val="18"/>
              </w:rPr>
            </w:pPr>
            <w:r w:rsidRPr="00F3029C">
              <w:rPr>
                <w:rFonts w:eastAsia="Times New Roman" w:cs="Times New Roman"/>
                <w:sz w:val="18"/>
                <w:szCs w:val="18"/>
              </w:rPr>
              <w:t>Zero</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0%</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0%</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0%</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0%</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0%</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0%</w:t>
            </w:r>
          </w:p>
        </w:tc>
      </w:tr>
      <w:tr w:rsidR="000B1D49" w:rsidRPr="00F3029C" w:rsidTr="00895B23">
        <w:trPr>
          <w:trHeight w:val="286"/>
          <w:jc w:val="center"/>
        </w:trPr>
        <w:tc>
          <w:tcPr>
            <w:tcW w:w="1885" w:type="dxa"/>
            <w:tcBorders>
              <w:top w:val="nil"/>
              <w:left w:val="single" w:sz="4" w:space="0" w:color="auto"/>
              <w:bottom w:val="single" w:sz="8" w:space="0" w:color="E2EFD9"/>
              <w:right w:val="single" w:sz="8" w:space="0" w:color="E2EFD9"/>
            </w:tcBorders>
            <w:shd w:val="clear" w:color="auto" w:fill="auto"/>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Efficiency Dividend</w:t>
            </w:r>
          </w:p>
        </w:tc>
        <w:tc>
          <w:tcPr>
            <w:tcW w:w="971"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1088" w:type="dxa"/>
            <w:tcBorders>
              <w:top w:val="nil"/>
              <w:left w:val="nil"/>
              <w:bottom w:val="single" w:sz="8" w:space="0" w:color="E2EFD9"/>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c>
          <w:tcPr>
            <w:tcW w:w="1088" w:type="dxa"/>
            <w:tcBorders>
              <w:top w:val="nil"/>
              <w:left w:val="nil"/>
              <w:bottom w:val="single" w:sz="8" w:space="0" w:color="E2EFD9"/>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w:t>
            </w:r>
          </w:p>
        </w:tc>
      </w:tr>
      <w:tr w:rsidR="000B1D49" w:rsidRPr="00F3029C" w:rsidTr="00895B23">
        <w:trPr>
          <w:trHeight w:val="410"/>
          <w:jc w:val="center"/>
        </w:trPr>
        <w:tc>
          <w:tcPr>
            <w:tcW w:w="1885" w:type="dxa"/>
            <w:tcBorders>
              <w:top w:val="single" w:sz="8" w:space="0" w:color="E2EFD9"/>
              <w:left w:val="single" w:sz="4" w:space="0" w:color="auto"/>
              <w:bottom w:val="single" w:sz="4" w:space="0" w:color="auto"/>
              <w:right w:val="single" w:sz="8" w:space="0" w:color="E2EFD9"/>
            </w:tcBorders>
            <w:shd w:val="clear" w:color="auto" w:fill="auto"/>
            <w:vAlign w:val="center"/>
            <w:hideMark/>
          </w:tcPr>
          <w:p w:rsidR="000B1D49" w:rsidRPr="00F3029C" w:rsidRDefault="000B1D49" w:rsidP="00EA09AE">
            <w:pPr>
              <w:rPr>
                <w:rFonts w:eastAsia="Times New Roman" w:cs="Times New Roman"/>
                <w:b/>
                <w:bCs/>
                <w:sz w:val="18"/>
                <w:szCs w:val="18"/>
              </w:rPr>
            </w:pPr>
            <w:r w:rsidRPr="00F3029C">
              <w:rPr>
                <w:rFonts w:eastAsia="Times New Roman" w:cs="Times New Roman"/>
                <w:b/>
                <w:bCs/>
                <w:sz w:val="18"/>
                <w:szCs w:val="18"/>
              </w:rPr>
              <w:t>Nominal GDP Forecasts 'm</w:t>
            </w:r>
          </w:p>
        </w:tc>
        <w:tc>
          <w:tcPr>
            <w:tcW w:w="971" w:type="dxa"/>
            <w:tcBorders>
              <w:top w:val="single" w:sz="8" w:space="0" w:color="E2EFD9"/>
              <w:left w:val="nil"/>
              <w:bottom w:val="single" w:sz="4" w:space="0" w:color="auto"/>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1,384,905</w:t>
            </w:r>
          </w:p>
        </w:tc>
        <w:tc>
          <w:tcPr>
            <w:tcW w:w="1088" w:type="dxa"/>
            <w:tcBorders>
              <w:top w:val="single" w:sz="8" w:space="0" w:color="E2EFD9"/>
              <w:left w:val="nil"/>
              <w:bottom w:val="single" w:sz="4" w:space="0" w:color="auto"/>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1,485,622</w:t>
            </w:r>
          </w:p>
        </w:tc>
        <w:tc>
          <w:tcPr>
            <w:tcW w:w="1088" w:type="dxa"/>
            <w:tcBorders>
              <w:top w:val="single" w:sz="8" w:space="0" w:color="E2EFD9"/>
              <w:left w:val="nil"/>
              <w:bottom w:val="single" w:sz="4" w:space="0" w:color="auto"/>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1,563,993</w:t>
            </w:r>
          </w:p>
        </w:tc>
        <w:tc>
          <w:tcPr>
            <w:tcW w:w="1088" w:type="dxa"/>
            <w:tcBorders>
              <w:top w:val="single" w:sz="8" w:space="0" w:color="E2EFD9"/>
              <w:left w:val="nil"/>
              <w:bottom w:val="single" w:sz="4" w:space="0" w:color="auto"/>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1,689,330</w:t>
            </w:r>
          </w:p>
        </w:tc>
        <w:tc>
          <w:tcPr>
            <w:tcW w:w="1088" w:type="dxa"/>
            <w:tcBorders>
              <w:top w:val="single" w:sz="8" w:space="0" w:color="E2EFD9"/>
              <w:left w:val="nil"/>
              <w:bottom w:val="single" w:sz="4" w:space="0" w:color="auto"/>
              <w:right w:val="single" w:sz="8" w:space="0" w:color="E2EFD9"/>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1,849,552</w:t>
            </w:r>
          </w:p>
        </w:tc>
        <w:tc>
          <w:tcPr>
            <w:tcW w:w="1088" w:type="dxa"/>
            <w:tcBorders>
              <w:top w:val="single" w:sz="8" w:space="0" w:color="E2EFD9"/>
              <w:left w:val="nil"/>
              <w:bottom w:val="single" w:sz="4" w:space="0" w:color="auto"/>
              <w:right w:val="single" w:sz="4" w:space="0" w:color="auto"/>
            </w:tcBorders>
            <w:shd w:val="clear" w:color="auto" w:fill="auto"/>
            <w:vAlign w:val="center"/>
            <w:hideMark/>
          </w:tcPr>
          <w:p w:rsidR="000B1D49" w:rsidRPr="00F3029C" w:rsidRDefault="000B1D49" w:rsidP="00EA09AE">
            <w:pPr>
              <w:jc w:val="center"/>
              <w:rPr>
                <w:rFonts w:eastAsia="Times New Roman" w:cs="Times New Roman"/>
                <w:sz w:val="18"/>
                <w:szCs w:val="18"/>
              </w:rPr>
            </w:pPr>
            <w:r w:rsidRPr="00F3029C">
              <w:rPr>
                <w:rFonts w:eastAsia="Times New Roman" w:cs="Times New Roman"/>
                <w:sz w:val="18"/>
                <w:szCs w:val="18"/>
              </w:rPr>
              <w:t>2,036,954</w:t>
            </w:r>
          </w:p>
        </w:tc>
      </w:tr>
    </w:tbl>
    <w:p w:rsidR="000B1D49" w:rsidRPr="00643527" w:rsidRDefault="000B1D49" w:rsidP="00A63611">
      <w:pPr>
        <w:spacing w:line="276" w:lineRule="auto"/>
        <w:jc w:val="both"/>
        <w:rPr>
          <w:szCs w:val="22"/>
          <w:lang w:bidi="ps-AF"/>
        </w:rPr>
      </w:pPr>
      <w:r w:rsidRPr="00643527">
        <w:rPr>
          <w:szCs w:val="22"/>
          <w:lang w:bidi="ps-AF"/>
        </w:rPr>
        <w:lastRenderedPageBreak/>
        <w:t>Tax revenue (incl. tax on income, property, tax on goods and services, tax on trade, and others) is the major contributor to domestic collecti</w:t>
      </w:r>
      <w:r w:rsidR="00A63611">
        <w:rPr>
          <w:szCs w:val="22"/>
          <w:lang w:bidi="ps-AF"/>
        </w:rPr>
        <w:t>ons, estimated to be around AFN</w:t>
      </w:r>
      <w:r w:rsidRPr="00643527">
        <w:rPr>
          <w:szCs w:val="22"/>
          <w:lang w:bidi="ps-AF"/>
        </w:rPr>
        <w:t>173.5 billion in 1397. Non-tax revenue is the next biggest contrib</w:t>
      </w:r>
      <w:r w:rsidR="00A63611">
        <w:rPr>
          <w:szCs w:val="22"/>
          <w:lang w:bidi="ps-AF"/>
        </w:rPr>
        <w:t>utor estimated to be around AFN</w:t>
      </w:r>
      <w:r w:rsidRPr="00643527">
        <w:rPr>
          <w:szCs w:val="22"/>
          <w:lang w:bidi="ps-AF"/>
        </w:rPr>
        <w:t xml:space="preserve">56 billion this year. </w:t>
      </w:r>
    </w:p>
    <w:p w:rsidR="000B1D49" w:rsidRPr="00643527" w:rsidRDefault="000B1D49" w:rsidP="00A63611">
      <w:pPr>
        <w:spacing w:line="276" w:lineRule="auto"/>
        <w:jc w:val="both"/>
        <w:rPr>
          <w:szCs w:val="22"/>
          <w:rtl/>
          <w:lang w:bidi="ps-AF"/>
        </w:rPr>
      </w:pPr>
      <w:r w:rsidRPr="00643527">
        <w:rPr>
          <w:szCs w:val="22"/>
          <w:lang w:bidi="ps-AF"/>
        </w:rPr>
        <w:t>It’s forecasted that the revenues in 2019 and the year</w:t>
      </w:r>
      <w:r w:rsidR="00643527">
        <w:rPr>
          <w:szCs w:val="22"/>
          <w:lang w:bidi="ps-AF"/>
        </w:rPr>
        <w:t>s to come will increase to AFN</w:t>
      </w:r>
      <w:r w:rsidRPr="00643527">
        <w:rPr>
          <w:szCs w:val="22"/>
          <w:lang w:bidi="ps-AF"/>
        </w:rPr>
        <w:t xml:space="preserve">188 billion by reason of reforms and improved tax administration. In forward estimates, it’s forecasted that the tax revenues will increase from </w:t>
      </w:r>
      <w:r w:rsidR="00643527">
        <w:rPr>
          <w:szCs w:val="22"/>
          <w:lang w:bidi="ps-AF"/>
        </w:rPr>
        <w:t>AFN</w:t>
      </w:r>
      <w:r w:rsidRPr="00643527">
        <w:rPr>
          <w:szCs w:val="22"/>
          <w:lang w:bidi="ps-AF"/>
        </w:rPr>
        <w:t xml:space="preserve">127.1 billion in 1398 to </w:t>
      </w:r>
      <w:r w:rsidR="00643527">
        <w:rPr>
          <w:szCs w:val="22"/>
          <w:lang w:bidi="ps-AF"/>
        </w:rPr>
        <w:t>AFN</w:t>
      </w:r>
      <w:r w:rsidRPr="00643527">
        <w:rPr>
          <w:szCs w:val="22"/>
          <w:lang w:bidi="ps-AF"/>
        </w:rPr>
        <w:t xml:space="preserve">140 billion, </w:t>
      </w:r>
      <w:r w:rsidR="00643527">
        <w:rPr>
          <w:szCs w:val="22"/>
          <w:lang w:bidi="ps-AF"/>
        </w:rPr>
        <w:t>AFN157.6 billion and AFN</w:t>
      </w:r>
      <w:r w:rsidRPr="00643527">
        <w:rPr>
          <w:szCs w:val="22"/>
          <w:lang w:bidi="ps-AF"/>
        </w:rPr>
        <w:t>174 billion in 1399, 1400 and 1401 respectively. On the other hand, forward estimates for the non-tax r</w:t>
      </w:r>
      <w:r w:rsidR="00643527">
        <w:rPr>
          <w:szCs w:val="22"/>
          <w:lang w:bidi="ps-AF"/>
        </w:rPr>
        <w:t>evenues will increase from AFN</w:t>
      </w:r>
      <w:r w:rsidRPr="00643527">
        <w:rPr>
          <w:szCs w:val="22"/>
          <w:lang w:bidi="ps-AF"/>
        </w:rPr>
        <w:t xml:space="preserve">60.8 billion in 1398 to </w:t>
      </w:r>
      <w:r w:rsidR="00643527">
        <w:rPr>
          <w:szCs w:val="22"/>
          <w:lang w:bidi="ps-AF"/>
        </w:rPr>
        <w:t>AFN68 billion, AFN</w:t>
      </w:r>
      <w:r w:rsidRPr="00643527">
        <w:rPr>
          <w:szCs w:val="22"/>
          <w:lang w:bidi="ps-AF"/>
        </w:rPr>
        <w:t xml:space="preserve">76.7 billion </w:t>
      </w:r>
      <w:r w:rsidR="00643527">
        <w:rPr>
          <w:szCs w:val="22"/>
          <w:lang w:bidi="ps-AF"/>
        </w:rPr>
        <w:t>a</w:t>
      </w:r>
      <w:r w:rsidR="00060FE4" w:rsidRPr="00643527">
        <w:rPr>
          <w:szCs w:val="22"/>
          <w:lang w:bidi="ps-AF"/>
        </w:rPr>
        <w:t>nd</w:t>
      </w:r>
      <w:r w:rsidR="00643527">
        <w:rPr>
          <w:szCs w:val="22"/>
          <w:lang w:bidi="ps-AF"/>
        </w:rPr>
        <w:t xml:space="preserve"> AFN</w:t>
      </w:r>
      <w:r w:rsidRPr="00643527">
        <w:rPr>
          <w:szCs w:val="22"/>
          <w:lang w:bidi="ps-AF"/>
        </w:rPr>
        <w:t xml:space="preserve">84 billion in 1399, 1400 and 1401 respectively. </w:t>
      </w:r>
    </w:p>
    <w:p w:rsidR="000B1D49" w:rsidRPr="00643527" w:rsidRDefault="000B1D49" w:rsidP="00A63611">
      <w:pPr>
        <w:spacing w:line="276" w:lineRule="auto"/>
        <w:jc w:val="both"/>
        <w:rPr>
          <w:szCs w:val="22"/>
          <w:lang w:bidi="ps-AF"/>
        </w:rPr>
      </w:pPr>
      <w:r w:rsidRPr="00643527">
        <w:rPr>
          <w:szCs w:val="22"/>
          <w:lang w:bidi="ps-AF"/>
        </w:rPr>
        <w:t>The period 1397 – 1402 demonstrate steady and strong revenue growth outlook. The forecast shows domestic revenues are expec</w:t>
      </w:r>
      <w:r w:rsidR="00A63611">
        <w:rPr>
          <w:szCs w:val="22"/>
          <w:lang w:bidi="ps-AF"/>
        </w:rPr>
        <w:t>ted to increase from actual AFN</w:t>
      </w:r>
      <w:r w:rsidRPr="00643527">
        <w:rPr>
          <w:szCs w:val="22"/>
          <w:lang w:bidi="ps-AF"/>
        </w:rPr>
        <w:t>165.1 billion (without one-off) in 1396 to budgeted target of A</w:t>
      </w:r>
      <w:r w:rsidR="00A63611">
        <w:rPr>
          <w:szCs w:val="22"/>
          <w:lang w:bidi="ps-AF"/>
        </w:rPr>
        <w:t>FN173.5 billion in 1397, AFN</w:t>
      </w:r>
      <w:r w:rsidRPr="00643527">
        <w:rPr>
          <w:szCs w:val="22"/>
          <w:lang w:bidi="ps-AF"/>
        </w:rPr>
        <w:t>188.0 bill</w:t>
      </w:r>
      <w:r w:rsidR="00A63611">
        <w:rPr>
          <w:szCs w:val="22"/>
          <w:lang w:bidi="ps-AF"/>
        </w:rPr>
        <w:t>ion, AFN208 billion, and AFN</w:t>
      </w:r>
      <w:r w:rsidRPr="00643527">
        <w:rPr>
          <w:szCs w:val="22"/>
          <w:lang w:bidi="ps-AF"/>
        </w:rPr>
        <w:t xml:space="preserve">234 billion in 1398, 1399, and 1400 respectively. The main revenue categories include tax revenue, non-taxes, and custom duties, which are grown by their respective macroeconomic assumptions (i.e. GDP, inflation, GDP deflator, import growth, efficiency, and so on). The above revenue figures includes the social contribution from the employees, which is expected to transfer to the pension separate account if the amendments in the pension law is approved from the cabinet and parliament where the revenue target will be lower by an equal amount. </w:t>
      </w:r>
    </w:p>
    <w:p w:rsidR="00895B23" w:rsidRDefault="000B1D49" w:rsidP="00A63611">
      <w:pPr>
        <w:spacing w:line="276" w:lineRule="auto"/>
        <w:jc w:val="both"/>
        <w:rPr>
          <w:spacing w:val="-4"/>
          <w:szCs w:val="22"/>
          <w:rtl/>
          <w:lang w:bidi="ps-AF"/>
        </w:rPr>
      </w:pPr>
      <w:r w:rsidRPr="00E115BE">
        <w:rPr>
          <w:spacing w:val="-4"/>
          <w:szCs w:val="22"/>
          <w:lang w:bidi="ps-AF"/>
        </w:rPr>
        <w:t xml:space="preserve">Total domestic revenue is expected to increase </w:t>
      </w:r>
      <w:r w:rsidR="00643527" w:rsidRPr="00E115BE">
        <w:rPr>
          <w:spacing w:val="-4"/>
          <w:szCs w:val="22"/>
          <w:lang w:bidi="ps-AF"/>
        </w:rPr>
        <w:t>AFN</w:t>
      </w:r>
      <w:r w:rsidRPr="00E115BE">
        <w:rPr>
          <w:spacing w:val="-4"/>
          <w:szCs w:val="22"/>
          <w:lang w:bidi="ps-AF"/>
        </w:rPr>
        <w:t>259 billion by the end of FY 1401. Reforms and improvement in tax administration by the government were the major causes of the improved revenue collection. The government is committed to upholding its revenue-enhancing measures and reforms over the following years. In addition to this, in the case of implementation of the value added tax and improvement of the mining sector, it’s expected that there will be a positive impact on the domestic revenue during the year 1400 and the coming years where there will be more revenue collections through this gateway in addition to the current level of the estimates.</w:t>
      </w:r>
    </w:p>
    <w:p w:rsidR="00627377" w:rsidRDefault="00627377" w:rsidP="00A63611">
      <w:pPr>
        <w:spacing w:line="276" w:lineRule="auto"/>
        <w:jc w:val="both"/>
        <w:rPr>
          <w:spacing w:val="-4"/>
          <w:szCs w:val="22"/>
          <w:rtl/>
          <w:lang w:bidi="ps-AF"/>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Default="006C565A" w:rsidP="009516D8">
      <w:pPr>
        <w:rPr>
          <w:lang w:bidi="fa-IR"/>
        </w:rPr>
      </w:pPr>
    </w:p>
    <w:p w:rsidR="006C565A" w:rsidRPr="006C565A" w:rsidRDefault="006C565A" w:rsidP="006C565A">
      <w:pPr>
        <w:pStyle w:val="Caption"/>
        <w:bidi w:val="0"/>
        <w:jc w:val="left"/>
        <w:rPr>
          <w:rFonts w:ascii="Garamond" w:hAnsi="Garamond"/>
          <w:sz w:val="22"/>
          <w:szCs w:val="22"/>
        </w:rPr>
      </w:pPr>
      <w:bookmarkStart w:id="73" w:name="_Toc535750370"/>
      <w:r w:rsidRPr="006C565A">
        <w:rPr>
          <w:rFonts w:ascii="Garamond" w:hAnsi="Garamond"/>
          <w:sz w:val="22"/>
          <w:szCs w:val="22"/>
        </w:rPr>
        <w:lastRenderedPageBreak/>
        <w:t xml:space="preserve">Figure </w:t>
      </w:r>
      <w:r w:rsidRPr="006C565A">
        <w:rPr>
          <w:rFonts w:ascii="Garamond" w:hAnsi="Garamond"/>
          <w:sz w:val="22"/>
          <w:szCs w:val="22"/>
        </w:rPr>
        <w:fldChar w:fldCharType="begin"/>
      </w:r>
      <w:r w:rsidRPr="006C565A">
        <w:rPr>
          <w:rFonts w:ascii="Garamond" w:hAnsi="Garamond"/>
          <w:sz w:val="22"/>
          <w:szCs w:val="22"/>
        </w:rPr>
        <w:instrText xml:space="preserve"> SEQ Figure \* ARABIC </w:instrText>
      </w:r>
      <w:r w:rsidRPr="006C565A">
        <w:rPr>
          <w:rFonts w:ascii="Garamond" w:hAnsi="Garamond"/>
          <w:sz w:val="22"/>
          <w:szCs w:val="22"/>
        </w:rPr>
        <w:fldChar w:fldCharType="separate"/>
      </w:r>
      <w:r w:rsidR="00862183">
        <w:rPr>
          <w:rFonts w:ascii="Garamond" w:hAnsi="Garamond"/>
          <w:noProof/>
          <w:sz w:val="22"/>
          <w:szCs w:val="22"/>
        </w:rPr>
        <w:t>5</w:t>
      </w:r>
      <w:r w:rsidRPr="006C565A">
        <w:rPr>
          <w:rFonts w:ascii="Garamond" w:hAnsi="Garamond"/>
          <w:sz w:val="22"/>
          <w:szCs w:val="22"/>
        </w:rPr>
        <w:fldChar w:fldCharType="end"/>
      </w:r>
      <w:r>
        <w:rPr>
          <w:rFonts w:ascii="Garamond" w:hAnsi="Garamond"/>
          <w:sz w:val="22"/>
          <w:szCs w:val="22"/>
        </w:rPr>
        <w:t xml:space="preserve"> </w:t>
      </w:r>
      <w:r w:rsidRPr="006C565A">
        <w:rPr>
          <w:rFonts w:ascii="Garamond" w:hAnsi="Garamond"/>
          <w:sz w:val="22"/>
          <w:szCs w:val="22"/>
        </w:rPr>
        <w:t>Main Categories of Domestic Revenue</w:t>
      </w:r>
      <w:bookmarkEnd w:id="73"/>
    </w:p>
    <w:p w:rsidR="000B1D49" w:rsidRPr="005A49D3" w:rsidRDefault="009516D8" w:rsidP="00895B23">
      <w:pPr>
        <w:pStyle w:val="Caption"/>
        <w:keepNext/>
        <w:bidi w:val="0"/>
        <w:spacing w:before="240"/>
        <w:jc w:val="both"/>
        <w:rPr>
          <w:rFonts w:ascii="Times New Roman" w:hAnsi="Times New Roman" w:cs="Times New Roman"/>
          <w:sz w:val="22"/>
          <w:szCs w:val="22"/>
        </w:rPr>
      </w:pPr>
      <w:r>
        <w:rPr>
          <w:noProof/>
          <w:lang w:bidi="ar-SA"/>
        </w:rPr>
        <w:drawing>
          <wp:inline distT="0" distB="0" distL="0" distR="0" wp14:anchorId="788E7972" wp14:editId="0CD5FD0F">
            <wp:extent cx="5505450" cy="3825875"/>
            <wp:effectExtent l="0" t="0" r="0" b="31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32CF5" w:rsidRDefault="00132CF5" w:rsidP="00A94EB7">
      <w:pPr>
        <w:pStyle w:val="Heading3"/>
      </w:pPr>
      <w:bookmarkStart w:id="74" w:name="_Toc535744282"/>
    </w:p>
    <w:p w:rsidR="000B1D49" w:rsidRPr="00A63611" w:rsidRDefault="000B1D49" w:rsidP="00A94EB7">
      <w:pPr>
        <w:pStyle w:val="Heading3"/>
      </w:pPr>
      <w:bookmarkStart w:id="75" w:name="_Toc535750211"/>
      <w:r w:rsidRPr="00A63611">
        <w:t>V</w:t>
      </w:r>
      <w:r w:rsidR="00895B23" w:rsidRPr="00A63611">
        <w:t xml:space="preserve">alue </w:t>
      </w:r>
      <w:r w:rsidRPr="00A63611">
        <w:t>A</w:t>
      </w:r>
      <w:r w:rsidR="00895B23" w:rsidRPr="00A63611">
        <w:t xml:space="preserve">dded </w:t>
      </w:r>
      <w:r w:rsidRPr="00A63611">
        <w:t>T</w:t>
      </w:r>
      <w:r w:rsidR="00895B23" w:rsidRPr="00A63611">
        <w:t>ax</w:t>
      </w:r>
      <w:r w:rsidRPr="00A63611">
        <w:t xml:space="preserve"> Forecast</w:t>
      </w:r>
      <w:bookmarkEnd w:id="74"/>
      <w:bookmarkEnd w:id="75"/>
    </w:p>
    <w:p w:rsidR="000B1D49" w:rsidRPr="00E115BE" w:rsidRDefault="000B1D49" w:rsidP="00A63611">
      <w:pPr>
        <w:spacing w:line="276" w:lineRule="auto"/>
        <w:jc w:val="both"/>
        <w:rPr>
          <w:spacing w:val="-4"/>
          <w:szCs w:val="22"/>
          <w:lang w:bidi="ps-AF"/>
        </w:rPr>
      </w:pPr>
      <w:r w:rsidRPr="00E115BE">
        <w:rPr>
          <w:spacing w:val="-4"/>
          <w:szCs w:val="22"/>
          <w:lang w:bidi="ps-AF"/>
        </w:rPr>
        <w:t>The Government is committed to policy changes and improved administration to increase domestic revenue. The WTO Agreement requires the Government of Afghanistan to eliminate fixed taxes on imports as well as the implementation of VAT on imports before January 01, 2021. This could result in huge revenues losses and also the country infrastructure may fall short to administered VAT properly; therefore, government has reached an agreement with the IMF to start implementation of the VAT by the January of 2021. Based on Government and IMF calculations, a VAT with a rate of 10 per cent is expected to yield an additional 1.9 percent of GDP.</w:t>
      </w:r>
    </w:p>
    <w:p w:rsidR="000B1D49" w:rsidRPr="00A94EB7" w:rsidRDefault="000B1D49" w:rsidP="00A94EB7">
      <w:pPr>
        <w:pStyle w:val="Heading2"/>
      </w:pPr>
      <w:bookmarkStart w:id="76" w:name="_Toc535744283"/>
      <w:bookmarkStart w:id="77" w:name="_Toc535750212"/>
      <w:bookmarkStart w:id="78" w:name="_Toc529110302"/>
      <w:r w:rsidRPr="00A94EB7">
        <w:t>Revenue Outlook for Foreign Aid – 1398 to 1401</w:t>
      </w:r>
      <w:bookmarkEnd w:id="76"/>
      <w:bookmarkEnd w:id="77"/>
    </w:p>
    <w:p w:rsidR="000B1D49" w:rsidRPr="00A94EB7" w:rsidRDefault="00895B23" w:rsidP="00A94EB7">
      <w:pPr>
        <w:pStyle w:val="Heading3"/>
        <w:rPr>
          <w:szCs w:val="28"/>
          <w:rtl/>
        </w:rPr>
      </w:pPr>
      <w:bookmarkStart w:id="79" w:name="_Toc535744284"/>
      <w:bookmarkStart w:id="80" w:name="_Toc535750213"/>
      <w:bookmarkEnd w:id="78"/>
      <w:r w:rsidRPr="00A94EB7">
        <w:t>Operating</w:t>
      </w:r>
      <w:r w:rsidR="000B1D49" w:rsidRPr="00A94EB7">
        <w:t xml:space="preserve"> Budget Aids</w:t>
      </w:r>
      <w:bookmarkEnd w:id="79"/>
      <w:bookmarkEnd w:id="80"/>
    </w:p>
    <w:p w:rsidR="000B1D49" w:rsidRDefault="000B1D49" w:rsidP="00A63611">
      <w:pPr>
        <w:spacing w:line="276" w:lineRule="auto"/>
        <w:jc w:val="both"/>
        <w:rPr>
          <w:szCs w:val="22"/>
          <w:lang w:bidi="ps-AF"/>
        </w:rPr>
      </w:pPr>
      <w:r w:rsidRPr="00643527">
        <w:rPr>
          <w:szCs w:val="22"/>
          <w:lang w:bidi="ps-AF"/>
        </w:rPr>
        <w:t xml:space="preserve">During FY 1398, the ordinary budget aid will be totally over Afs. 98 billion indicating about 6% decrease in contrast to FY 1397 which is caused by shrinkage in level of the donor commitments for the security sector; based on commitment of the Afghan government with the international community, it shall gradually increase its share in the budget for security forces. In addition to the commitments of the CSTC-A, the NATFO has also committed a sum of Afs. 24.5 million </w:t>
      </w:r>
      <w:r w:rsidR="004C0A4A" w:rsidRPr="00643527">
        <w:rPr>
          <w:szCs w:val="22"/>
          <w:lang w:bidi="ps-AF"/>
        </w:rPr>
        <w:t>For</w:t>
      </w:r>
      <w:r w:rsidRPr="00643527">
        <w:rPr>
          <w:szCs w:val="22"/>
          <w:lang w:bidi="ps-AF"/>
        </w:rPr>
        <w:t xml:space="preserve"> 1398 to pay out the salaries of the </w:t>
      </w:r>
      <w:r w:rsidR="004C0A4A" w:rsidRPr="00643527">
        <w:rPr>
          <w:szCs w:val="22"/>
          <w:lang w:bidi="ps-AF"/>
        </w:rPr>
        <w:t>Security Council</w:t>
      </w:r>
      <w:r w:rsidRPr="00643527">
        <w:rPr>
          <w:szCs w:val="22"/>
          <w:lang w:bidi="ps-AF"/>
        </w:rPr>
        <w:t xml:space="preserve"> staff.</w:t>
      </w:r>
    </w:p>
    <w:p w:rsidR="00132CF5" w:rsidRDefault="00132CF5" w:rsidP="00A63611">
      <w:pPr>
        <w:spacing w:line="276" w:lineRule="auto"/>
        <w:jc w:val="both"/>
        <w:rPr>
          <w:sz w:val="6"/>
          <w:szCs w:val="6"/>
          <w:lang w:bidi="ps-AF"/>
        </w:rPr>
      </w:pPr>
    </w:p>
    <w:p w:rsidR="006C565A" w:rsidRDefault="006C565A" w:rsidP="00A63611">
      <w:pPr>
        <w:spacing w:line="276" w:lineRule="auto"/>
        <w:jc w:val="both"/>
        <w:rPr>
          <w:sz w:val="6"/>
          <w:szCs w:val="6"/>
          <w:lang w:bidi="ps-AF"/>
        </w:rPr>
      </w:pPr>
    </w:p>
    <w:p w:rsidR="006C565A" w:rsidRDefault="006C565A" w:rsidP="00A63611">
      <w:pPr>
        <w:spacing w:line="276" w:lineRule="auto"/>
        <w:jc w:val="both"/>
        <w:rPr>
          <w:sz w:val="6"/>
          <w:szCs w:val="6"/>
          <w:lang w:bidi="ps-AF"/>
        </w:rPr>
      </w:pPr>
    </w:p>
    <w:p w:rsidR="006C565A" w:rsidRDefault="006C565A" w:rsidP="00A63611">
      <w:pPr>
        <w:spacing w:line="276" w:lineRule="auto"/>
        <w:jc w:val="both"/>
        <w:rPr>
          <w:sz w:val="6"/>
          <w:szCs w:val="6"/>
          <w:lang w:bidi="ps-AF"/>
        </w:rPr>
      </w:pPr>
    </w:p>
    <w:p w:rsidR="006C565A" w:rsidRDefault="006C565A" w:rsidP="00A63611">
      <w:pPr>
        <w:spacing w:line="276" w:lineRule="auto"/>
        <w:jc w:val="both"/>
        <w:rPr>
          <w:sz w:val="6"/>
          <w:szCs w:val="6"/>
          <w:lang w:bidi="ps-AF"/>
        </w:rPr>
      </w:pPr>
    </w:p>
    <w:p w:rsidR="006C565A" w:rsidRDefault="006C565A" w:rsidP="00A63611">
      <w:pPr>
        <w:spacing w:line="276" w:lineRule="auto"/>
        <w:jc w:val="both"/>
        <w:rPr>
          <w:sz w:val="6"/>
          <w:szCs w:val="6"/>
          <w:lang w:bidi="ps-AF"/>
        </w:rPr>
      </w:pPr>
    </w:p>
    <w:p w:rsidR="006C565A" w:rsidRDefault="006C565A" w:rsidP="006C565A">
      <w:pPr>
        <w:pStyle w:val="Caption"/>
        <w:bidi w:val="0"/>
        <w:jc w:val="left"/>
        <w:rPr>
          <w:rFonts w:ascii="Garamond" w:hAnsi="Garamond"/>
          <w:sz w:val="22"/>
          <w:szCs w:val="22"/>
        </w:rPr>
      </w:pPr>
    </w:p>
    <w:p w:rsidR="006C565A" w:rsidRPr="006C565A" w:rsidRDefault="006C565A" w:rsidP="006C565A">
      <w:pPr>
        <w:pStyle w:val="Caption"/>
        <w:bidi w:val="0"/>
        <w:jc w:val="left"/>
        <w:rPr>
          <w:rFonts w:ascii="Garamond" w:hAnsi="Garamond"/>
          <w:sz w:val="22"/>
          <w:szCs w:val="22"/>
          <w:rtl/>
        </w:rPr>
      </w:pPr>
      <w:bookmarkStart w:id="81" w:name="_Toc535750268"/>
      <w:r w:rsidRPr="006C565A">
        <w:rPr>
          <w:rFonts w:ascii="Garamond" w:hAnsi="Garamond"/>
          <w:sz w:val="22"/>
          <w:szCs w:val="22"/>
        </w:rPr>
        <w:lastRenderedPageBreak/>
        <w:t xml:space="preserve">Table </w:t>
      </w:r>
      <w:r w:rsidRPr="006C565A">
        <w:rPr>
          <w:rFonts w:ascii="Garamond" w:hAnsi="Garamond"/>
          <w:sz w:val="22"/>
          <w:szCs w:val="22"/>
        </w:rPr>
        <w:fldChar w:fldCharType="begin"/>
      </w:r>
      <w:r w:rsidRPr="006C565A">
        <w:rPr>
          <w:rFonts w:ascii="Garamond" w:hAnsi="Garamond"/>
          <w:sz w:val="22"/>
          <w:szCs w:val="22"/>
        </w:rPr>
        <w:instrText xml:space="preserve"> SEQ Table \* ARABIC </w:instrText>
      </w:r>
      <w:r w:rsidRPr="006C565A">
        <w:rPr>
          <w:rFonts w:ascii="Garamond" w:hAnsi="Garamond"/>
          <w:sz w:val="22"/>
          <w:szCs w:val="22"/>
        </w:rPr>
        <w:fldChar w:fldCharType="separate"/>
      </w:r>
      <w:r w:rsidR="00862183">
        <w:rPr>
          <w:rFonts w:ascii="Garamond" w:hAnsi="Garamond"/>
          <w:noProof/>
          <w:sz w:val="22"/>
          <w:szCs w:val="22"/>
        </w:rPr>
        <w:t>7</w:t>
      </w:r>
      <w:r w:rsidRPr="006C565A">
        <w:rPr>
          <w:rFonts w:ascii="Garamond" w:hAnsi="Garamond"/>
          <w:sz w:val="22"/>
          <w:szCs w:val="22"/>
        </w:rPr>
        <w:fldChar w:fldCharType="end"/>
      </w:r>
      <w:r>
        <w:rPr>
          <w:rFonts w:ascii="Garamond" w:hAnsi="Garamond"/>
          <w:sz w:val="22"/>
          <w:szCs w:val="22"/>
        </w:rPr>
        <w:t xml:space="preserve"> </w:t>
      </w:r>
      <w:r w:rsidRPr="006C565A">
        <w:rPr>
          <w:rFonts w:ascii="Garamond" w:hAnsi="Garamond"/>
          <w:sz w:val="22"/>
          <w:szCs w:val="22"/>
        </w:rPr>
        <w:t>Ordinary Budget Aid</w:t>
      </w:r>
      <w:bookmarkEnd w:id="81"/>
    </w:p>
    <w:tbl>
      <w:tblPr>
        <w:tblpPr w:leftFromText="180" w:rightFromText="180" w:vertAnchor="text" w:tblpXSpec="center" w:tblpY="1"/>
        <w:tblOverlap w:val="never"/>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12"/>
        <w:gridCol w:w="942"/>
        <w:gridCol w:w="1056"/>
        <w:gridCol w:w="1056"/>
        <w:gridCol w:w="1056"/>
      </w:tblGrid>
      <w:tr w:rsidR="000B1D49" w:rsidRPr="00E115BE" w:rsidTr="00EA09AE">
        <w:trPr>
          <w:trHeight w:val="300"/>
          <w:tblHeader/>
        </w:trPr>
        <w:tc>
          <w:tcPr>
            <w:tcW w:w="0" w:type="auto"/>
            <w:shd w:val="clear" w:color="auto" w:fill="C6D9F1"/>
            <w:noWrap/>
            <w:vAlign w:val="center"/>
            <w:hideMark/>
          </w:tcPr>
          <w:p w:rsidR="000B1D49" w:rsidRPr="00E115BE" w:rsidRDefault="000B1D49" w:rsidP="00EA09AE">
            <w:pPr>
              <w:jc w:val="center"/>
              <w:rPr>
                <w:rFonts w:eastAsia="Times New Roman" w:cs="Times New Roman"/>
                <w:b/>
                <w:bCs/>
                <w:sz w:val="18"/>
                <w:szCs w:val="18"/>
              </w:rPr>
            </w:pPr>
          </w:p>
        </w:tc>
        <w:tc>
          <w:tcPr>
            <w:tcW w:w="0" w:type="auto"/>
            <w:shd w:val="clear" w:color="auto" w:fill="C6D9F1"/>
            <w:vAlign w:val="center"/>
            <w:hideMark/>
          </w:tcPr>
          <w:p w:rsidR="000B1D49" w:rsidRPr="00E115BE" w:rsidRDefault="000B1D49" w:rsidP="00EA09AE">
            <w:pPr>
              <w:jc w:val="center"/>
              <w:rPr>
                <w:rFonts w:eastAsia="Times New Roman" w:cs="Times New Roman"/>
                <w:b/>
                <w:bCs/>
                <w:sz w:val="18"/>
                <w:szCs w:val="18"/>
              </w:rPr>
            </w:pPr>
            <w:r w:rsidRPr="00E115BE">
              <w:rPr>
                <w:rFonts w:eastAsia="Times New Roman" w:cs="Times New Roman"/>
                <w:b/>
                <w:bCs/>
                <w:sz w:val="18"/>
                <w:szCs w:val="18"/>
              </w:rPr>
              <w:t>1398</w:t>
            </w:r>
          </w:p>
        </w:tc>
        <w:tc>
          <w:tcPr>
            <w:tcW w:w="0" w:type="auto"/>
            <w:shd w:val="clear" w:color="auto" w:fill="C6D9F1"/>
            <w:noWrap/>
            <w:vAlign w:val="bottom"/>
            <w:hideMark/>
          </w:tcPr>
          <w:p w:rsidR="000B1D49" w:rsidRPr="00E115BE" w:rsidRDefault="000B1D49" w:rsidP="00EA09AE">
            <w:pPr>
              <w:jc w:val="center"/>
              <w:rPr>
                <w:rFonts w:eastAsia="Times New Roman" w:cs="Times New Roman"/>
                <w:b/>
                <w:bCs/>
                <w:sz w:val="18"/>
                <w:szCs w:val="18"/>
              </w:rPr>
            </w:pPr>
            <w:r w:rsidRPr="00E115BE">
              <w:rPr>
                <w:rFonts w:eastAsia="Times New Roman" w:cs="Times New Roman"/>
                <w:b/>
                <w:bCs/>
                <w:sz w:val="18"/>
                <w:szCs w:val="18"/>
              </w:rPr>
              <w:t>1399</w:t>
            </w:r>
          </w:p>
        </w:tc>
        <w:tc>
          <w:tcPr>
            <w:tcW w:w="0" w:type="auto"/>
            <w:shd w:val="clear" w:color="auto" w:fill="C6D9F1"/>
            <w:noWrap/>
            <w:vAlign w:val="bottom"/>
            <w:hideMark/>
          </w:tcPr>
          <w:p w:rsidR="000B1D49" w:rsidRPr="00E115BE" w:rsidRDefault="000B1D49" w:rsidP="00EA09AE">
            <w:pPr>
              <w:jc w:val="center"/>
              <w:rPr>
                <w:rFonts w:eastAsia="Times New Roman" w:cs="Times New Roman"/>
                <w:b/>
                <w:bCs/>
                <w:sz w:val="18"/>
                <w:szCs w:val="18"/>
              </w:rPr>
            </w:pPr>
            <w:r w:rsidRPr="00E115BE">
              <w:rPr>
                <w:rFonts w:eastAsia="Times New Roman" w:cs="Times New Roman"/>
                <w:b/>
                <w:bCs/>
                <w:sz w:val="18"/>
                <w:szCs w:val="18"/>
              </w:rPr>
              <w:t>1400</w:t>
            </w:r>
          </w:p>
        </w:tc>
        <w:tc>
          <w:tcPr>
            <w:tcW w:w="0" w:type="auto"/>
            <w:shd w:val="clear" w:color="auto" w:fill="C6D9F1"/>
            <w:noWrap/>
            <w:vAlign w:val="bottom"/>
            <w:hideMark/>
          </w:tcPr>
          <w:p w:rsidR="000B1D49" w:rsidRPr="00E115BE" w:rsidRDefault="000B1D49" w:rsidP="00EA09AE">
            <w:pPr>
              <w:jc w:val="center"/>
              <w:rPr>
                <w:rFonts w:eastAsia="Times New Roman" w:cs="Times New Roman"/>
                <w:b/>
                <w:bCs/>
                <w:sz w:val="18"/>
                <w:szCs w:val="18"/>
              </w:rPr>
            </w:pPr>
            <w:r w:rsidRPr="00E115BE">
              <w:rPr>
                <w:rFonts w:eastAsia="Times New Roman" w:cs="Times New Roman"/>
                <w:b/>
                <w:bCs/>
                <w:sz w:val="18"/>
                <w:szCs w:val="18"/>
              </w:rPr>
              <w:t>1401</w:t>
            </w:r>
          </w:p>
        </w:tc>
      </w:tr>
      <w:tr w:rsidR="000B1D49" w:rsidRPr="00E115BE" w:rsidTr="00EA09AE">
        <w:trPr>
          <w:trHeight w:val="350"/>
          <w:tblHeader/>
        </w:trPr>
        <w:tc>
          <w:tcPr>
            <w:tcW w:w="0" w:type="auto"/>
            <w:shd w:val="clear" w:color="auto" w:fill="C6D9F1"/>
            <w:noWrap/>
            <w:vAlign w:val="bottom"/>
            <w:hideMark/>
          </w:tcPr>
          <w:p w:rsidR="000B1D49" w:rsidRPr="00E115BE" w:rsidRDefault="000B1D49" w:rsidP="00C97BE2">
            <w:pPr>
              <w:rPr>
                <w:rFonts w:eastAsia="Times New Roman" w:cs="Times New Roman"/>
                <w:b/>
                <w:bCs/>
                <w:sz w:val="18"/>
                <w:szCs w:val="18"/>
              </w:rPr>
            </w:pPr>
            <w:r w:rsidRPr="00E115BE">
              <w:rPr>
                <w:rFonts w:eastAsia="Times New Roman" w:cs="Times New Roman"/>
                <w:b/>
                <w:bCs/>
                <w:sz w:val="18"/>
                <w:szCs w:val="18"/>
              </w:rPr>
              <w:t>Figur</w:t>
            </w:r>
            <w:r w:rsidR="006C565A">
              <w:rPr>
                <w:rFonts w:eastAsia="Times New Roman" w:cs="Times New Roman"/>
                <w:b/>
                <w:bCs/>
                <w:sz w:val="18"/>
                <w:szCs w:val="18"/>
              </w:rPr>
              <w:t>es in Million AFS</w:t>
            </w:r>
            <w:r w:rsidRPr="00E115BE">
              <w:rPr>
                <w:rFonts w:eastAsia="Times New Roman" w:cs="Times New Roman"/>
                <w:b/>
                <w:bCs/>
                <w:sz w:val="18"/>
                <w:szCs w:val="18"/>
              </w:rPr>
              <w:t>.</w:t>
            </w:r>
          </w:p>
        </w:tc>
        <w:tc>
          <w:tcPr>
            <w:tcW w:w="0" w:type="auto"/>
            <w:shd w:val="clear" w:color="auto" w:fill="C6D9F1"/>
            <w:noWrap/>
            <w:vAlign w:val="bottom"/>
            <w:hideMark/>
          </w:tcPr>
          <w:p w:rsidR="000B1D49" w:rsidRPr="00E115BE" w:rsidRDefault="000B1D49" w:rsidP="00EA09AE">
            <w:pPr>
              <w:jc w:val="center"/>
              <w:rPr>
                <w:rFonts w:eastAsia="Times New Roman" w:cs="Times New Roman"/>
                <w:b/>
                <w:bCs/>
                <w:color w:val="1F4E78"/>
                <w:sz w:val="18"/>
                <w:szCs w:val="18"/>
                <w:rtl/>
              </w:rPr>
            </w:pPr>
            <w:r w:rsidRPr="00E115BE">
              <w:rPr>
                <w:rFonts w:eastAsia="Times New Roman" w:cs="Times New Roman"/>
                <w:b/>
                <w:bCs/>
                <w:color w:val="1F4E78"/>
                <w:sz w:val="18"/>
                <w:szCs w:val="18"/>
              </w:rPr>
              <w:t>Budget</w:t>
            </w:r>
          </w:p>
        </w:tc>
        <w:tc>
          <w:tcPr>
            <w:tcW w:w="0" w:type="auto"/>
            <w:shd w:val="clear" w:color="auto" w:fill="C6D9F1"/>
            <w:noWrap/>
            <w:vAlign w:val="bottom"/>
            <w:hideMark/>
          </w:tcPr>
          <w:p w:rsidR="000B1D49" w:rsidRPr="00E115BE" w:rsidRDefault="000B1D49" w:rsidP="00EA09AE">
            <w:pPr>
              <w:jc w:val="center"/>
              <w:rPr>
                <w:rFonts w:eastAsia="Times New Roman" w:cs="Times New Roman"/>
                <w:b/>
                <w:bCs/>
                <w:sz w:val="18"/>
                <w:szCs w:val="18"/>
                <w:rtl/>
              </w:rPr>
            </w:pPr>
            <w:r w:rsidRPr="00E115BE">
              <w:rPr>
                <w:rFonts w:eastAsia="Times New Roman" w:cs="Times New Roman"/>
                <w:b/>
                <w:bCs/>
                <w:sz w:val="18"/>
                <w:szCs w:val="18"/>
              </w:rPr>
              <w:t>Forecast</w:t>
            </w:r>
          </w:p>
        </w:tc>
        <w:tc>
          <w:tcPr>
            <w:tcW w:w="0" w:type="auto"/>
            <w:shd w:val="clear" w:color="auto" w:fill="C6D9F1"/>
            <w:noWrap/>
            <w:vAlign w:val="bottom"/>
            <w:hideMark/>
          </w:tcPr>
          <w:p w:rsidR="000B1D49" w:rsidRPr="00E115BE" w:rsidRDefault="000B1D49" w:rsidP="00EA09AE">
            <w:pPr>
              <w:jc w:val="center"/>
              <w:rPr>
                <w:rFonts w:eastAsia="Times New Roman" w:cs="Times New Roman"/>
                <w:b/>
                <w:bCs/>
                <w:sz w:val="18"/>
                <w:szCs w:val="18"/>
                <w:rtl/>
              </w:rPr>
            </w:pPr>
            <w:r w:rsidRPr="00E115BE">
              <w:rPr>
                <w:rFonts w:eastAsia="Times New Roman" w:cs="Times New Roman"/>
                <w:b/>
                <w:bCs/>
                <w:sz w:val="18"/>
                <w:szCs w:val="18"/>
              </w:rPr>
              <w:t>Forecast</w:t>
            </w:r>
          </w:p>
        </w:tc>
        <w:tc>
          <w:tcPr>
            <w:tcW w:w="0" w:type="auto"/>
            <w:shd w:val="clear" w:color="auto" w:fill="C6D9F1"/>
            <w:noWrap/>
            <w:vAlign w:val="bottom"/>
            <w:hideMark/>
          </w:tcPr>
          <w:p w:rsidR="000B1D49" w:rsidRPr="00E115BE" w:rsidRDefault="000B1D49" w:rsidP="00EA09AE">
            <w:pPr>
              <w:jc w:val="center"/>
              <w:rPr>
                <w:rFonts w:eastAsia="Times New Roman" w:cs="Times New Roman"/>
                <w:b/>
                <w:bCs/>
                <w:sz w:val="18"/>
                <w:szCs w:val="18"/>
                <w:rtl/>
              </w:rPr>
            </w:pPr>
            <w:r w:rsidRPr="00E115BE">
              <w:rPr>
                <w:rFonts w:eastAsia="Times New Roman" w:cs="Times New Roman"/>
                <w:b/>
                <w:bCs/>
                <w:sz w:val="18"/>
                <w:szCs w:val="18"/>
              </w:rPr>
              <w:t>Forecast</w:t>
            </w:r>
          </w:p>
        </w:tc>
      </w:tr>
      <w:tr w:rsidR="000B1D49" w:rsidRPr="00E115BE" w:rsidTr="00EA09AE">
        <w:trPr>
          <w:trHeight w:val="340"/>
        </w:trPr>
        <w:tc>
          <w:tcPr>
            <w:tcW w:w="0" w:type="auto"/>
            <w:shd w:val="clear" w:color="auto" w:fill="auto"/>
            <w:noWrap/>
            <w:vAlign w:val="bottom"/>
            <w:hideMark/>
          </w:tcPr>
          <w:p w:rsidR="000B1D49" w:rsidRPr="00E115BE" w:rsidRDefault="000B1D49" w:rsidP="00C97BE2">
            <w:pPr>
              <w:rPr>
                <w:rFonts w:eastAsia="Times New Roman" w:cs="Times New Roman"/>
                <w:b/>
                <w:bCs/>
                <w:sz w:val="18"/>
                <w:szCs w:val="18"/>
                <w:rtl/>
              </w:rPr>
            </w:pPr>
            <w:r w:rsidRPr="00E115BE">
              <w:rPr>
                <w:rFonts w:eastAsia="Times New Roman" w:cs="Times New Roman"/>
                <w:b/>
                <w:bCs/>
                <w:sz w:val="18"/>
                <w:szCs w:val="18"/>
              </w:rPr>
              <w:t>Grants</w:t>
            </w:r>
          </w:p>
        </w:tc>
        <w:tc>
          <w:tcPr>
            <w:tcW w:w="0" w:type="auto"/>
            <w:shd w:val="clear" w:color="auto" w:fill="auto"/>
            <w:noWrap/>
            <w:vAlign w:val="bottom"/>
            <w:hideMark/>
          </w:tcPr>
          <w:p w:rsidR="000B1D49" w:rsidRPr="00E115BE" w:rsidRDefault="000B1D49" w:rsidP="00EA09AE">
            <w:pPr>
              <w:jc w:val="center"/>
              <w:rPr>
                <w:rFonts w:eastAsia="Times New Roman" w:cs="Times New Roman"/>
                <w:color w:val="1F4E78"/>
                <w:sz w:val="18"/>
                <w:szCs w:val="18"/>
                <w:rtl/>
              </w:rPr>
            </w:pPr>
            <w:r w:rsidRPr="00E115BE">
              <w:rPr>
                <w:rFonts w:eastAsia="Times New Roman" w:cs="Times New Roman"/>
                <w:color w:val="1F4E78"/>
                <w:sz w:val="18"/>
                <w:szCs w:val="18"/>
              </w:rPr>
              <w:t>136,044</w:t>
            </w: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112,864</w:t>
            </w: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76,791</w:t>
            </w: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45,591</w:t>
            </w:r>
          </w:p>
        </w:tc>
      </w:tr>
      <w:tr w:rsidR="000B1D49" w:rsidRPr="00E115BE" w:rsidTr="00EA09AE">
        <w:trPr>
          <w:trHeight w:val="340"/>
        </w:trPr>
        <w:tc>
          <w:tcPr>
            <w:tcW w:w="0" w:type="auto"/>
            <w:shd w:val="clear" w:color="auto" w:fill="auto"/>
            <w:noWrap/>
            <w:vAlign w:val="bottom"/>
            <w:hideMark/>
          </w:tcPr>
          <w:p w:rsidR="000B1D49" w:rsidRPr="00E115BE" w:rsidRDefault="000B1D49" w:rsidP="00E115BE">
            <w:pPr>
              <w:ind w:firstLineChars="100" w:firstLine="180"/>
              <w:rPr>
                <w:rFonts w:eastAsia="Times New Roman" w:cs="Times New Roman"/>
                <w:b/>
                <w:bCs/>
                <w:sz w:val="18"/>
                <w:szCs w:val="18"/>
              </w:rPr>
            </w:pPr>
            <w:r w:rsidRPr="00E115BE">
              <w:rPr>
                <w:rFonts w:eastAsia="Times New Roman" w:cs="Times New Roman"/>
                <w:b/>
                <w:bCs/>
                <w:sz w:val="18"/>
                <w:szCs w:val="18"/>
              </w:rPr>
              <w:t>Ordinary aids</w:t>
            </w: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tl/>
              </w:rPr>
            </w:pPr>
            <w:r w:rsidRPr="00E115BE">
              <w:rPr>
                <w:rFonts w:eastAsia="Times New Roman" w:cs="Times New Roman"/>
                <w:sz w:val="18"/>
                <w:szCs w:val="18"/>
              </w:rPr>
              <w:t>98,844</w:t>
            </w: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82,064</w:t>
            </w: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45,591</w:t>
            </w: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45,591</w:t>
            </w:r>
          </w:p>
        </w:tc>
      </w:tr>
      <w:tr w:rsidR="000B1D49" w:rsidRPr="00E115BE" w:rsidTr="00EA09AE">
        <w:trPr>
          <w:trHeight w:val="350"/>
        </w:trPr>
        <w:tc>
          <w:tcPr>
            <w:tcW w:w="0" w:type="auto"/>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ARTF</w:t>
            </w:r>
          </w:p>
        </w:tc>
        <w:tc>
          <w:tcPr>
            <w:tcW w:w="0" w:type="auto"/>
            <w:shd w:val="clear" w:color="auto" w:fill="auto"/>
            <w:noWrap/>
            <w:vAlign w:val="bottom"/>
            <w:hideMark/>
          </w:tcPr>
          <w:p w:rsidR="000B1D49" w:rsidRPr="00E115BE" w:rsidRDefault="000B1D49" w:rsidP="00EA09AE">
            <w:pPr>
              <w:jc w:val="center"/>
              <w:rPr>
                <w:rFonts w:eastAsia="Times New Roman" w:cs="Times New Roman"/>
                <w:color w:val="1F4E78"/>
                <w:sz w:val="18"/>
                <w:szCs w:val="18"/>
                <w:rtl/>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r>
      <w:tr w:rsidR="000B1D49" w:rsidRPr="00E115BE" w:rsidTr="00EA09AE">
        <w:trPr>
          <w:trHeight w:val="350"/>
        </w:trPr>
        <w:tc>
          <w:tcPr>
            <w:tcW w:w="0" w:type="auto"/>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ARTF (incentive fund)</w:t>
            </w:r>
          </w:p>
        </w:tc>
        <w:tc>
          <w:tcPr>
            <w:tcW w:w="0" w:type="auto"/>
            <w:shd w:val="clear" w:color="auto" w:fill="auto"/>
            <w:noWrap/>
            <w:vAlign w:val="bottom"/>
            <w:hideMark/>
          </w:tcPr>
          <w:p w:rsidR="000B1D49" w:rsidRPr="00E115BE" w:rsidRDefault="000B1D49" w:rsidP="00EA09AE">
            <w:pPr>
              <w:jc w:val="center"/>
              <w:rPr>
                <w:rFonts w:eastAsia="Times New Roman" w:cs="Times New Roman"/>
                <w:color w:val="1F4E78"/>
                <w:sz w:val="18"/>
                <w:szCs w:val="18"/>
                <w:rtl/>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r>
      <w:tr w:rsidR="000B1D49" w:rsidRPr="00E115BE" w:rsidTr="00EA09AE">
        <w:trPr>
          <w:trHeight w:val="350"/>
        </w:trPr>
        <w:tc>
          <w:tcPr>
            <w:tcW w:w="0" w:type="auto"/>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ARTF (police incentive fund)</w:t>
            </w:r>
          </w:p>
        </w:tc>
        <w:tc>
          <w:tcPr>
            <w:tcW w:w="0" w:type="auto"/>
            <w:shd w:val="clear" w:color="auto" w:fill="auto"/>
            <w:noWrap/>
            <w:vAlign w:val="bottom"/>
            <w:hideMark/>
          </w:tcPr>
          <w:p w:rsidR="000B1D49" w:rsidRPr="00E115BE" w:rsidRDefault="000B1D49" w:rsidP="00EA09AE">
            <w:pPr>
              <w:jc w:val="center"/>
              <w:rPr>
                <w:rFonts w:eastAsia="Times New Roman" w:cs="Times New Roman"/>
                <w:color w:val="1F4E78"/>
                <w:sz w:val="18"/>
                <w:szCs w:val="18"/>
                <w:rtl/>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r>
      <w:tr w:rsidR="000B1D49" w:rsidRPr="00E115BE" w:rsidTr="00EA09AE">
        <w:trPr>
          <w:trHeight w:val="350"/>
        </w:trPr>
        <w:tc>
          <w:tcPr>
            <w:tcW w:w="0" w:type="auto"/>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LOTFA</w:t>
            </w:r>
          </w:p>
        </w:tc>
        <w:tc>
          <w:tcPr>
            <w:tcW w:w="0" w:type="auto"/>
            <w:shd w:val="clear" w:color="auto" w:fill="auto"/>
            <w:noWrap/>
            <w:vAlign w:val="bottom"/>
            <w:hideMark/>
          </w:tcPr>
          <w:p w:rsidR="000B1D49" w:rsidRPr="00E115BE" w:rsidRDefault="000B1D49" w:rsidP="00EA09AE">
            <w:pPr>
              <w:jc w:val="center"/>
              <w:rPr>
                <w:rFonts w:eastAsia="Times New Roman" w:cs="Times New Roman"/>
                <w:color w:val="1F4E78"/>
                <w:sz w:val="18"/>
                <w:szCs w:val="18"/>
                <w:rtl/>
              </w:rPr>
            </w:pPr>
            <w:r w:rsidRPr="00E115BE">
              <w:rPr>
                <w:rFonts w:eastAsia="Times New Roman" w:cs="Times New Roman"/>
                <w:color w:val="1F4E78"/>
                <w:sz w:val="18"/>
                <w:szCs w:val="18"/>
              </w:rPr>
              <w:t>28,000</w:t>
            </w: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25,484</w:t>
            </w: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14,158</w:t>
            </w: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14,158</w:t>
            </w:r>
          </w:p>
        </w:tc>
      </w:tr>
      <w:tr w:rsidR="000B1D49" w:rsidRPr="00E115BE" w:rsidTr="00EA09AE">
        <w:trPr>
          <w:trHeight w:val="350"/>
        </w:trPr>
        <w:tc>
          <w:tcPr>
            <w:tcW w:w="0" w:type="auto"/>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CSTC-A</w:t>
            </w:r>
          </w:p>
        </w:tc>
        <w:tc>
          <w:tcPr>
            <w:tcW w:w="0" w:type="auto"/>
            <w:shd w:val="clear" w:color="auto" w:fill="auto"/>
            <w:noWrap/>
            <w:vAlign w:val="bottom"/>
            <w:hideMark/>
          </w:tcPr>
          <w:p w:rsidR="000B1D49" w:rsidRPr="00E115BE" w:rsidRDefault="000B1D49" w:rsidP="00EA09AE">
            <w:pPr>
              <w:jc w:val="center"/>
              <w:rPr>
                <w:rFonts w:eastAsia="Times New Roman" w:cs="Times New Roman"/>
                <w:color w:val="1F4E78"/>
                <w:sz w:val="18"/>
                <w:szCs w:val="18"/>
                <w:rtl/>
              </w:rPr>
            </w:pPr>
            <w:r w:rsidRPr="00E115BE">
              <w:rPr>
                <w:rFonts w:eastAsia="Times New Roman" w:cs="Times New Roman"/>
                <w:color w:val="1F4E78"/>
                <w:sz w:val="18"/>
                <w:szCs w:val="18"/>
              </w:rPr>
              <w:t>70,819</w:t>
            </w: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56,579</w:t>
            </w: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31,433</w:t>
            </w: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31,433</w:t>
            </w:r>
          </w:p>
        </w:tc>
      </w:tr>
      <w:tr w:rsidR="000B1D49" w:rsidRPr="00E115BE" w:rsidTr="00EA09AE">
        <w:trPr>
          <w:trHeight w:val="350"/>
        </w:trPr>
        <w:tc>
          <w:tcPr>
            <w:tcW w:w="0" w:type="auto"/>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CSTC-A (Ministry of Defense)</w:t>
            </w:r>
          </w:p>
        </w:tc>
        <w:tc>
          <w:tcPr>
            <w:tcW w:w="0" w:type="auto"/>
            <w:shd w:val="clear" w:color="auto" w:fill="auto"/>
            <w:noWrap/>
            <w:vAlign w:val="bottom"/>
            <w:hideMark/>
          </w:tcPr>
          <w:p w:rsidR="000B1D49" w:rsidRPr="00E115BE" w:rsidRDefault="000B1D49" w:rsidP="00EA09AE">
            <w:pPr>
              <w:jc w:val="center"/>
              <w:rPr>
                <w:rFonts w:eastAsia="Times New Roman" w:cs="Times New Roman"/>
                <w:color w:val="1F4E78"/>
                <w:sz w:val="18"/>
                <w:szCs w:val="18"/>
                <w:rtl/>
              </w:rPr>
            </w:pPr>
            <w:r w:rsidRPr="00E115BE">
              <w:rPr>
                <w:rFonts w:eastAsia="Times New Roman" w:cs="Times New Roman"/>
                <w:color w:val="1F4E78"/>
                <w:sz w:val="18"/>
                <w:szCs w:val="18"/>
              </w:rPr>
              <w:t>60,520</w:t>
            </w:r>
          </w:p>
        </w:tc>
        <w:tc>
          <w:tcPr>
            <w:tcW w:w="0" w:type="auto"/>
            <w:shd w:val="clear" w:color="auto" w:fill="auto"/>
            <w:noWrap/>
            <w:vAlign w:val="bottom"/>
            <w:hideMark/>
          </w:tcPr>
          <w:p w:rsidR="000B1D49" w:rsidRPr="00E115BE" w:rsidRDefault="000B1D49" w:rsidP="00EA09AE">
            <w:pPr>
              <w:jc w:val="center"/>
              <w:rPr>
                <w:rFonts w:eastAsia="Times New Roman" w:cs="Times New Roman"/>
                <w:i/>
                <w:iCs/>
                <w:sz w:val="18"/>
                <w:szCs w:val="18"/>
              </w:rPr>
            </w:pPr>
            <w:r w:rsidRPr="00E115BE">
              <w:rPr>
                <w:rFonts w:eastAsia="Times New Roman" w:cs="Times New Roman"/>
                <w:i/>
                <w:iCs/>
                <w:sz w:val="18"/>
                <w:szCs w:val="18"/>
              </w:rPr>
              <w:t>42,559</w:t>
            </w:r>
          </w:p>
        </w:tc>
        <w:tc>
          <w:tcPr>
            <w:tcW w:w="0" w:type="auto"/>
            <w:shd w:val="clear" w:color="auto" w:fill="auto"/>
            <w:noWrap/>
            <w:vAlign w:val="bottom"/>
            <w:hideMark/>
          </w:tcPr>
          <w:p w:rsidR="000B1D49" w:rsidRPr="00E115BE" w:rsidRDefault="000B1D49" w:rsidP="00EA09AE">
            <w:pPr>
              <w:jc w:val="center"/>
              <w:rPr>
                <w:rFonts w:eastAsia="Times New Roman" w:cs="Times New Roman"/>
                <w:i/>
                <w:iCs/>
                <w:sz w:val="18"/>
                <w:szCs w:val="18"/>
              </w:rPr>
            </w:pPr>
            <w:r w:rsidRPr="00E115BE">
              <w:rPr>
                <w:rFonts w:eastAsia="Times New Roman" w:cs="Times New Roman"/>
                <w:i/>
                <w:iCs/>
                <w:sz w:val="18"/>
                <w:szCs w:val="18"/>
              </w:rPr>
              <w:t>23,644</w:t>
            </w:r>
          </w:p>
        </w:tc>
        <w:tc>
          <w:tcPr>
            <w:tcW w:w="0" w:type="auto"/>
            <w:shd w:val="clear" w:color="auto" w:fill="auto"/>
            <w:noWrap/>
            <w:vAlign w:val="bottom"/>
            <w:hideMark/>
          </w:tcPr>
          <w:p w:rsidR="000B1D49" w:rsidRPr="00E115BE" w:rsidRDefault="000B1D49" w:rsidP="00EA09AE">
            <w:pPr>
              <w:jc w:val="center"/>
              <w:rPr>
                <w:rFonts w:eastAsia="Times New Roman" w:cs="Times New Roman"/>
                <w:i/>
                <w:iCs/>
                <w:sz w:val="18"/>
                <w:szCs w:val="18"/>
              </w:rPr>
            </w:pPr>
            <w:r w:rsidRPr="00E115BE">
              <w:rPr>
                <w:rFonts w:eastAsia="Times New Roman" w:cs="Times New Roman"/>
                <w:i/>
                <w:iCs/>
                <w:sz w:val="18"/>
                <w:szCs w:val="18"/>
              </w:rPr>
              <w:t>23,644</w:t>
            </w:r>
          </w:p>
        </w:tc>
      </w:tr>
      <w:tr w:rsidR="000B1D49" w:rsidRPr="00E115BE" w:rsidTr="00EA09AE">
        <w:trPr>
          <w:trHeight w:val="350"/>
        </w:trPr>
        <w:tc>
          <w:tcPr>
            <w:tcW w:w="0" w:type="auto"/>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CSTC-A (Ministry of Interior Affairs)</w:t>
            </w:r>
          </w:p>
        </w:tc>
        <w:tc>
          <w:tcPr>
            <w:tcW w:w="0" w:type="auto"/>
            <w:shd w:val="clear" w:color="auto" w:fill="auto"/>
            <w:noWrap/>
            <w:vAlign w:val="bottom"/>
            <w:hideMark/>
          </w:tcPr>
          <w:p w:rsidR="000B1D49" w:rsidRPr="00E115BE" w:rsidRDefault="000B1D49" w:rsidP="00EA09AE">
            <w:pPr>
              <w:jc w:val="center"/>
              <w:rPr>
                <w:rFonts w:eastAsia="Times New Roman" w:cs="Times New Roman"/>
                <w:color w:val="1F4E78"/>
                <w:sz w:val="18"/>
                <w:szCs w:val="18"/>
                <w:rtl/>
              </w:rPr>
            </w:pPr>
            <w:r w:rsidRPr="00E115BE">
              <w:rPr>
                <w:rFonts w:eastAsia="Times New Roman" w:cs="Times New Roman"/>
                <w:color w:val="1F4E78"/>
                <w:sz w:val="18"/>
                <w:szCs w:val="18"/>
              </w:rPr>
              <w:t>10,299</w:t>
            </w:r>
          </w:p>
        </w:tc>
        <w:tc>
          <w:tcPr>
            <w:tcW w:w="0" w:type="auto"/>
            <w:shd w:val="clear" w:color="auto" w:fill="auto"/>
            <w:noWrap/>
            <w:vAlign w:val="bottom"/>
            <w:hideMark/>
          </w:tcPr>
          <w:p w:rsidR="000B1D49" w:rsidRPr="00E115BE" w:rsidRDefault="000B1D49" w:rsidP="00EA09AE">
            <w:pPr>
              <w:jc w:val="center"/>
              <w:rPr>
                <w:rFonts w:eastAsia="Times New Roman" w:cs="Times New Roman"/>
                <w:i/>
                <w:iCs/>
                <w:sz w:val="18"/>
                <w:szCs w:val="18"/>
              </w:rPr>
            </w:pPr>
            <w:r w:rsidRPr="00E115BE">
              <w:rPr>
                <w:rFonts w:eastAsia="Times New Roman" w:cs="Times New Roman"/>
                <w:i/>
                <w:iCs/>
                <w:sz w:val="18"/>
                <w:szCs w:val="18"/>
              </w:rPr>
              <w:t>14,020</w:t>
            </w:r>
          </w:p>
        </w:tc>
        <w:tc>
          <w:tcPr>
            <w:tcW w:w="0" w:type="auto"/>
            <w:shd w:val="clear" w:color="auto" w:fill="auto"/>
            <w:noWrap/>
            <w:vAlign w:val="bottom"/>
            <w:hideMark/>
          </w:tcPr>
          <w:p w:rsidR="000B1D49" w:rsidRPr="00E115BE" w:rsidRDefault="000B1D49" w:rsidP="00EA09AE">
            <w:pPr>
              <w:jc w:val="center"/>
              <w:rPr>
                <w:rFonts w:eastAsia="Times New Roman" w:cs="Times New Roman"/>
                <w:i/>
                <w:iCs/>
                <w:sz w:val="18"/>
                <w:szCs w:val="18"/>
              </w:rPr>
            </w:pPr>
            <w:r w:rsidRPr="00E115BE">
              <w:rPr>
                <w:rFonts w:eastAsia="Times New Roman" w:cs="Times New Roman"/>
                <w:i/>
                <w:iCs/>
                <w:sz w:val="18"/>
                <w:szCs w:val="18"/>
              </w:rPr>
              <w:t>7,789</w:t>
            </w:r>
          </w:p>
        </w:tc>
        <w:tc>
          <w:tcPr>
            <w:tcW w:w="0" w:type="auto"/>
            <w:shd w:val="clear" w:color="auto" w:fill="auto"/>
            <w:noWrap/>
            <w:vAlign w:val="bottom"/>
            <w:hideMark/>
          </w:tcPr>
          <w:p w:rsidR="000B1D49" w:rsidRPr="00E115BE" w:rsidRDefault="000B1D49" w:rsidP="00EA09AE">
            <w:pPr>
              <w:jc w:val="center"/>
              <w:rPr>
                <w:rFonts w:eastAsia="Times New Roman" w:cs="Times New Roman"/>
                <w:i/>
                <w:iCs/>
                <w:sz w:val="18"/>
                <w:szCs w:val="18"/>
              </w:rPr>
            </w:pPr>
            <w:r w:rsidRPr="00E115BE">
              <w:rPr>
                <w:rFonts w:eastAsia="Times New Roman" w:cs="Times New Roman"/>
                <w:i/>
                <w:iCs/>
                <w:sz w:val="18"/>
                <w:szCs w:val="18"/>
              </w:rPr>
              <w:t>7,789</w:t>
            </w:r>
          </w:p>
        </w:tc>
      </w:tr>
      <w:tr w:rsidR="000B1D49" w:rsidRPr="00E115BE" w:rsidTr="00EA09AE">
        <w:trPr>
          <w:trHeight w:val="350"/>
        </w:trPr>
        <w:tc>
          <w:tcPr>
            <w:tcW w:w="0" w:type="auto"/>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NATFO</w:t>
            </w:r>
          </w:p>
        </w:tc>
        <w:tc>
          <w:tcPr>
            <w:tcW w:w="0" w:type="auto"/>
            <w:shd w:val="clear" w:color="auto" w:fill="auto"/>
            <w:noWrap/>
            <w:vAlign w:val="bottom"/>
            <w:hideMark/>
          </w:tcPr>
          <w:p w:rsidR="000B1D49" w:rsidRPr="00E115BE" w:rsidRDefault="000B1D49" w:rsidP="00EA09AE">
            <w:pPr>
              <w:jc w:val="center"/>
              <w:rPr>
                <w:rFonts w:eastAsia="Times New Roman" w:cs="Times New Roman"/>
                <w:color w:val="1F4E78"/>
                <w:sz w:val="18"/>
                <w:szCs w:val="18"/>
                <w:rtl/>
              </w:rPr>
            </w:pPr>
            <w:r w:rsidRPr="00E115BE">
              <w:rPr>
                <w:rFonts w:eastAsia="Times New Roman" w:cs="Times New Roman"/>
                <w:color w:val="1F4E78"/>
                <w:sz w:val="18"/>
                <w:szCs w:val="18"/>
              </w:rPr>
              <w:t>25</w:t>
            </w: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r>
      <w:tr w:rsidR="000B1D49" w:rsidRPr="00E115BE" w:rsidTr="00EA09AE">
        <w:trPr>
          <w:trHeight w:val="350"/>
        </w:trPr>
        <w:tc>
          <w:tcPr>
            <w:tcW w:w="0" w:type="auto"/>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SPAD</w:t>
            </w:r>
          </w:p>
        </w:tc>
        <w:tc>
          <w:tcPr>
            <w:tcW w:w="0" w:type="auto"/>
            <w:shd w:val="clear" w:color="auto" w:fill="auto"/>
            <w:noWrap/>
            <w:vAlign w:val="bottom"/>
            <w:hideMark/>
          </w:tcPr>
          <w:p w:rsidR="000B1D49" w:rsidRPr="00E115BE" w:rsidRDefault="000B1D49" w:rsidP="00EA09AE">
            <w:pPr>
              <w:jc w:val="center"/>
              <w:rPr>
                <w:rFonts w:eastAsia="Times New Roman" w:cs="Times New Roman"/>
                <w:color w:val="1F4E78"/>
                <w:sz w:val="18"/>
                <w:szCs w:val="18"/>
                <w:rtl/>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r>
      <w:tr w:rsidR="000B1D49" w:rsidRPr="00E115BE" w:rsidTr="00EA09AE">
        <w:trPr>
          <w:trHeight w:val="350"/>
        </w:trPr>
        <w:tc>
          <w:tcPr>
            <w:tcW w:w="0" w:type="auto"/>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New Development Policy</w:t>
            </w:r>
          </w:p>
        </w:tc>
        <w:tc>
          <w:tcPr>
            <w:tcW w:w="0" w:type="auto"/>
            <w:shd w:val="clear" w:color="auto" w:fill="auto"/>
            <w:noWrap/>
            <w:vAlign w:val="bottom"/>
            <w:hideMark/>
          </w:tcPr>
          <w:p w:rsidR="000B1D49" w:rsidRPr="00E115BE" w:rsidRDefault="000B1D49" w:rsidP="00EA09AE">
            <w:pPr>
              <w:jc w:val="center"/>
              <w:rPr>
                <w:rFonts w:eastAsia="Times New Roman" w:cs="Times New Roman"/>
                <w:color w:val="1F4E78"/>
                <w:sz w:val="18"/>
                <w:szCs w:val="18"/>
                <w:rtl/>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r>
      <w:tr w:rsidR="000B1D49" w:rsidRPr="00E115BE" w:rsidTr="00EA09AE">
        <w:trPr>
          <w:trHeight w:val="350"/>
        </w:trPr>
        <w:tc>
          <w:tcPr>
            <w:tcW w:w="0" w:type="auto"/>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European Union (Governance building contract)</w:t>
            </w:r>
          </w:p>
        </w:tc>
        <w:tc>
          <w:tcPr>
            <w:tcW w:w="0" w:type="auto"/>
            <w:shd w:val="clear" w:color="auto" w:fill="auto"/>
            <w:noWrap/>
            <w:vAlign w:val="bottom"/>
            <w:hideMark/>
          </w:tcPr>
          <w:p w:rsidR="000B1D49" w:rsidRPr="00E115BE" w:rsidRDefault="000B1D49" w:rsidP="00EA09AE">
            <w:pPr>
              <w:jc w:val="center"/>
              <w:rPr>
                <w:rFonts w:eastAsia="Times New Roman" w:cs="Times New Roman"/>
                <w:color w:val="1F4E78"/>
                <w:sz w:val="18"/>
                <w:szCs w:val="18"/>
                <w:rtl/>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c>
          <w:tcPr>
            <w:tcW w:w="0" w:type="auto"/>
            <w:shd w:val="clear" w:color="auto" w:fill="auto"/>
            <w:noWrap/>
            <w:vAlign w:val="bottom"/>
            <w:hideMark/>
          </w:tcPr>
          <w:p w:rsidR="000B1D49" w:rsidRPr="00E115BE" w:rsidRDefault="000B1D49" w:rsidP="00EA09AE">
            <w:pPr>
              <w:jc w:val="center"/>
              <w:rPr>
                <w:rFonts w:eastAsia="Times New Roman" w:cs="Times New Roman"/>
                <w:sz w:val="18"/>
                <w:szCs w:val="18"/>
              </w:rPr>
            </w:pPr>
          </w:p>
        </w:tc>
      </w:tr>
    </w:tbl>
    <w:p w:rsidR="004C0A4A" w:rsidRPr="006C565A" w:rsidRDefault="004C0A4A" w:rsidP="000B1D49">
      <w:pPr>
        <w:pStyle w:val="Heading3"/>
        <w:rPr>
          <w:rFonts w:ascii="Times New Roman" w:hAnsi="Times New Roman"/>
          <w:b w:val="0"/>
          <w:bCs/>
          <w:sz w:val="10"/>
          <w:szCs w:val="10"/>
        </w:rPr>
      </w:pPr>
      <w:bookmarkStart w:id="82" w:name="_Toc529110304"/>
    </w:p>
    <w:p w:rsidR="000B1D49" w:rsidRPr="00A94EB7" w:rsidRDefault="004C0A4A" w:rsidP="00A94EB7">
      <w:pPr>
        <w:pStyle w:val="Heading3"/>
      </w:pPr>
      <w:bookmarkStart w:id="83" w:name="_Toc535744285"/>
      <w:bookmarkStart w:id="84" w:name="_Toc535750214"/>
      <w:r w:rsidRPr="00A94EB7">
        <w:t>Discretionary Grants in Development Budget</w:t>
      </w:r>
      <w:r w:rsidR="000B1D49" w:rsidRPr="00A94EB7">
        <w:t xml:space="preserve"> – 1398 to 1401</w:t>
      </w:r>
      <w:bookmarkEnd w:id="83"/>
      <w:bookmarkEnd w:id="84"/>
    </w:p>
    <w:bookmarkEnd w:id="82"/>
    <w:p w:rsidR="000B1D49" w:rsidRDefault="000B1D49" w:rsidP="00834578">
      <w:pPr>
        <w:spacing w:line="276" w:lineRule="auto"/>
        <w:jc w:val="both"/>
        <w:rPr>
          <w:szCs w:val="22"/>
          <w:lang w:bidi="ps-AF"/>
        </w:rPr>
      </w:pPr>
      <w:r w:rsidRPr="00643527">
        <w:rPr>
          <w:szCs w:val="22"/>
          <w:lang w:bidi="ps-AF"/>
        </w:rPr>
        <w:t xml:space="preserve">The </w:t>
      </w:r>
      <w:r w:rsidR="00834578">
        <w:rPr>
          <w:szCs w:val="22"/>
          <w:lang w:bidi="ps-AF"/>
        </w:rPr>
        <w:t>discretionary grants will amount to over AFN</w:t>
      </w:r>
      <w:r w:rsidRPr="00643527">
        <w:rPr>
          <w:szCs w:val="22"/>
          <w:lang w:bidi="ps-AF"/>
        </w:rPr>
        <w:t xml:space="preserve">37 billion in 1398 indicating about 14% reductions as compared to FY 1397. These aids will amount up to </w:t>
      </w:r>
      <w:r w:rsidR="00834578">
        <w:rPr>
          <w:szCs w:val="22"/>
          <w:lang w:bidi="ps-AF"/>
        </w:rPr>
        <w:t>AFN</w:t>
      </w:r>
      <w:r w:rsidRPr="00643527">
        <w:rPr>
          <w:szCs w:val="22"/>
          <w:lang w:bidi="ps-AF"/>
        </w:rPr>
        <w:t xml:space="preserve">49 billion in the years ahead up to FY 1401 decreasing around 57% compared to FY 1397. It’s noteworthy that all these aids are subject to the government commitments towards implementation of the fiscal and structural reforms which could be affected seriously in the case of negligence. </w:t>
      </w:r>
    </w:p>
    <w:p w:rsidR="006C565A" w:rsidRPr="006C565A" w:rsidRDefault="006C565A" w:rsidP="00834578">
      <w:pPr>
        <w:spacing w:line="276" w:lineRule="auto"/>
        <w:jc w:val="both"/>
        <w:rPr>
          <w:sz w:val="6"/>
          <w:szCs w:val="6"/>
          <w:lang w:bidi="ps-AF"/>
        </w:rPr>
      </w:pPr>
    </w:p>
    <w:p w:rsidR="006C565A" w:rsidRPr="006C565A" w:rsidRDefault="006C565A" w:rsidP="006C565A">
      <w:pPr>
        <w:pStyle w:val="Caption"/>
        <w:bidi w:val="0"/>
        <w:jc w:val="left"/>
        <w:rPr>
          <w:rFonts w:ascii="Garamond" w:hAnsi="Garamond"/>
          <w:sz w:val="22"/>
          <w:szCs w:val="22"/>
        </w:rPr>
      </w:pPr>
      <w:bookmarkStart w:id="85" w:name="_Toc535750269"/>
      <w:bookmarkStart w:id="86" w:name="_Toc529090689"/>
      <w:bookmarkStart w:id="87" w:name="_Toc529119680"/>
      <w:r w:rsidRPr="006C565A">
        <w:rPr>
          <w:rFonts w:ascii="Garamond" w:hAnsi="Garamond"/>
          <w:sz w:val="22"/>
          <w:szCs w:val="22"/>
        </w:rPr>
        <w:t xml:space="preserve">Table </w:t>
      </w:r>
      <w:r w:rsidRPr="006C565A">
        <w:rPr>
          <w:rFonts w:ascii="Garamond" w:hAnsi="Garamond"/>
          <w:sz w:val="22"/>
          <w:szCs w:val="22"/>
        </w:rPr>
        <w:fldChar w:fldCharType="begin"/>
      </w:r>
      <w:r w:rsidRPr="006C565A">
        <w:rPr>
          <w:rFonts w:ascii="Garamond" w:hAnsi="Garamond"/>
          <w:sz w:val="22"/>
          <w:szCs w:val="22"/>
        </w:rPr>
        <w:instrText xml:space="preserve"> SEQ Table \* ARABIC </w:instrText>
      </w:r>
      <w:r w:rsidRPr="006C565A">
        <w:rPr>
          <w:rFonts w:ascii="Garamond" w:hAnsi="Garamond"/>
          <w:sz w:val="22"/>
          <w:szCs w:val="22"/>
        </w:rPr>
        <w:fldChar w:fldCharType="separate"/>
      </w:r>
      <w:r w:rsidR="00862183">
        <w:rPr>
          <w:rFonts w:ascii="Garamond" w:hAnsi="Garamond"/>
          <w:noProof/>
          <w:sz w:val="22"/>
          <w:szCs w:val="22"/>
        </w:rPr>
        <w:t>8</w:t>
      </w:r>
      <w:r w:rsidRPr="006C565A">
        <w:rPr>
          <w:rFonts w:ascii="Garamond" w:hAnsi="Garamond"/>
          <w:sz w:val="22"/>
          <w:szCs w:val="22"/>
        </w:rPr>
        <w:fldChar w:fldCharType="end"/>
      </w:r>
      <w:r>
        <w:rPr>
          <w:rFonts w:ascii="Garamond" w:hAnsi="Garamond"/>
          <w:sz w:val="22"/>
          <w:szCs w:val="22"/>
        </w:rPr>
        <w:t xml:space="preserve"> </w:t>
      </w:r>
      <w:r w:rsidRPr="006C565A">
        <w:rPr>
          <w:rFonts w:ascii="Garamond" w:hAnsi="Garamond"/>
          <w:sz w:val="22"/>
          <w:szCs w:val="22"/>
        </w:rPr>
        <w:t>Discretionary Grants in Development Budget</w:t>
      </w:r>
      <w:bookmarkEnd w:id="85"/>
    </w:p>
    <w:bookmarkEnd w:id="86"/>
    <w:bookmarkEnd w:id="87"/>
    <w:tbl>
      <w:tblPr>
        <w:tblpPr w:leftFromText="180" w:rightFromText="180"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555"/>
        <w:gridCol w:w="1445"/>
        <w:gridCol w:w="1174"/>
        <w:gridCol w:w="1174"/>
        <w:gridCol w:w="1174"/>
      </w:tblGrid>
      <w:tr w:rsidR="000B1D49" w:rsidRPr="00E115BE" w:rsidTr="00834578">
        <w:trPr>
          <w:trHeight w:val="20"/>
          <w:tblHeader/>
          <w:jc w:val="center"/>
        </w:trPr>
        <w:tc>
          <w:tcPr>
            <w:tcW w:w="3555" w:type="dxa"/>
            <w:shd w:val="clear" w:color="auto" w:fill="C6D9F1"/>
            <w:noWrap/>
            <w:vAlign w:val="center"/>
            <w:hideMark/>
          </w:tcPr>
          <w:p w:rsidR="000B1D49" w:rsidRPr="00E115BE" w:rsidRDefault="000B1D49" w:rsidP="00EA09AE">
            <w:pPr>
              <w:jc w:val="center"/>
              <w:rPr>
                <w:rFonts w:eastAsia="Times New Roman" w:cs="Times New Roman"/>
                <w:b/>
                <w:bCs/>
                <w:sz w:val="18"/>
                <w:szCs w:val="18"/>
              </w:rPr>
            </w:pPr>
          </w:p>
        </w:tc>
        <w:tc>
          <w:tcPr>
            <w:tcW w:w="1445" w:type="dxa"/>
            <w:shd w:val="clear" w:color="auto" w:fill="C6D9F1"/>
            <w:vAlign w:val="center"/>
            <w:hideMark/>
          </w:tcPr>
          <w:p w:rsidR="000B1D49" w:rsidRPr="00E115BE" w:rsidRDefault="000B1D49" w:rsidP="00EA09AE">
            <w:pPr>
              <w:jc w:val="center"/>
              <w:rPr>
                <w:rFonts w:eastAsia="Times New Roman" w:cs="Times New Roman"/>
                <w:b/>
                <w:bCs/>
                <w:sz w:val="18"/>
                <w:szCs w:val="18"/>
              </w:rPr>
            </w:pPr>
            <w:r w:rsidRPr="00E115BE">
              <w:rPr>
                <w:rFonts w:eastAsia="Times New Roman" w:cs="Times New Roman"/>
                <w:b/>
                <w:bCs/>
                <w:sz w:val="18"/>
                <w:szCs w:val="18"/>
              </w:rPr>
              <w:t>1398</w:t>
            </w:r>
          </w:p>
        </w:tc>
        <w:tc>
          <w:tcPr>
            <w:tcW w:w="1174" w:type="dxa"/>
            <w:shd w:val="clear" w:color="auto" w:fill="C6D9F1"/>
            <w:noWrap/>
            <w:vAlign w:val="bottom"/>
            <w:hideMark/>
          </w:tcPr>
          <w:p w:rsidR="000B1D49" w:rsidRPr="00E115BE" w:rsidRDefault="000B1D49" w:rsidP="00EA09AE">
            <w:pPr>
              <w:jc w:val="center"/>
              <w:rPr>
                <w:rFonts w:eastAsia="Times New Roman" w:cs="Times New Roman"/>
                <w:b/>
                <w:bCs/>
                <w:sz w:val="18"/>
                <w:szCs w:val="18"/>
              </w:rPr>
            </w:pPr>
            <w:r w:rsidRPr="00E115BE">
              <w:rPr>
                <w:rFonts w:eastAsia="Times New Roman" w:cs="Times New Roman"/>
                <w:b/>
                <w:bCs/>
                <w:sz w:val="18"/>
                <w:szCs w:val="18"/>
              </w:rPr>
              <w:t>1399</w:t>
            </w:r>
          </w:p>
        </w:tc>
        <w:tc>
          <w:tcPr>
            <w:tcW w:w="1174" w:type="dxa"/>
            <w:shd w:val="clear" w:color="auto" w:fill="C6D9F1"/>
            <w:noWrap/>
            <w:vAlign w:val="bottom"/>
            <w:hideMark/>
          </w:tcPr>
          <w:p w:rsidR="000B1D49" w:rsidRPr="00E115BE" w:rsidRDefault="000B1D49" w:rsidP="00EA09AE">
            <w:pPr>
              <w:jc w:val="center"/>
              <w:rPr>
                <w:rFonts w:eastAsia="Times New Roman" w:cs="Times New Roman"/>
                <w:b/>
                <w:bCs/>
                <w:sz w:val="18"/>
                <w:szCs w:val="18"/>
              </w:rPr>
            </w:pPr>
            <w:r w:rsidRPr="00E115BE">
              <w:rPr>
                <w:rFonts w:eastAsia="Times New Roman" w:cs="Times New Roman"/>
                <w:b/>
                <w:bCs/>
                <w:sz w:val="18"/>
                <w:szCs w:val="18"/>
              </w:rPr>
              <w:t>1400</w:t>
            </w:r>
          </w:p>
        </w:tc>
        <w:tc>
          <w:tcPr>
            <w:tcW w:w="1174" w:type="dxa"/>
            <w:shd w:val="clear" w:color="auto" w:fill="C6D9F1"/>
            <w:noWrap/>
            <w:vAlign w:val="bottom"/>
            <w:hideMark/>
          </w:tcPr>
          <w:p w:rsidR="000B1D49" w:rsidRPr="00E115BE" w:rsidRDefault="000B1D49" w:rsidP="00EA09AE">
            <w:pPr>
              <w:jc w:val="center"/>
              <w:rPr>
                <w:rFonts w:eastAsia="Times New Roman" w:cs="Times New Roman"/>
                <w:b/>
                <w:bCs/>
                <w:sz w:val="18"/>
                <w:szCs w:val="18"/>
              </w:rPr>
            </w:pPr>
            <w:r w:rsidRPr="00E115BE">
              <w:rPr>
                <w:rFonts w:eastAsia="Times New Roman" w:cs="Times New Roman"/>
                <w:b/>
                <w:bCs/>
                <w:sz w:val="18"/>
                <w:szCs w:val="18"/>
              </w:rPr>
              <w:t>1401</w:t>
            </w:r>
          </w:p>
        </w:tc>
      </w:tr>
      <w:tr w:rsidR="000B1D49" w:rsidRPr="00E115BE" w:rsidTr="00834578">
        <w:trPr>
          <w:trHeight w:val="20"/>
          <w:tblHeader/>
          <w:jc w:val="center"/>
        </w:trPr>
        <w:tc>
          <w:tcPr>
            <w:tcW w:w="3544" w:type="dxa"/>
            <w:shd w:val="clear" w:color="auto" w:fill="C6D9F1"/>
            <w:noWrap/>
            <w:vAlign w:val="bottom"/>
            <w:hideMark/>
          </w:tcPr>
          <w:p w:rsidR="000B1D49" w:rsidRPr="00E115BE" w:rsidRDefault="006C565A" w:rsidP="00C97BE2">
            <w:pPr>
              <w:rPr>
                <w:rFonts w:eastAsia="Times New Roman" w:cs="Times New Roman"/>
                <w:b/>
                <w:bCs/>
                <w:sz w:val="18"/>
                <w:szCs w:val="18"/>
              </w:rPr>
            </w:pPr>
            <w:r>
              <w:rPr>
                <w:rFonts w:eastAsia="Times New Roman" w:cs="Times New Roman"/>
                <w:b/>
                <w:bCs/>
                <w:sz w:val="18"/>
                <w:szCs w:val="18"/>
              </w:rPr>
              <w:t>Figures in Million AFS</w:t>
            </w:r>
            <w:r w:rsidR="000B1D49" w:rsidRPr="00E115BE">
              <w:rPr>
                <w:rFonts w:eastAsia="Times New Roman" w:cs="Times New Roman"/>
                <w:b/>
                <w:bCs/>
                <w:sz w:val="18"/>
                <w:szCs w:val="18"/>
              </w:rPr>
              <w:t>.</w:t>
            </w:r>
          </w:p>
        </w:tc>
        <w:tc>
          <w:tcPr>
            <w:tcW w:w="1440" w:type="dxa"/>
            <w:shd w:val="clear" w:color="auto" w:fill="C6D9F1"/>
            <w:noWrap/>
            <w:vAlign w:val="bottom"/>
            <w:hideMark/>
          </w:tcPr>
          <w:p w:rsidR="000B1D49" w:rsidRPr="00E115BE" w:rsidRDefault="000B1D49" w:rsidP="00EA09AE">
            <w:pPr>
              <w:jc w:val="center"/>
              <w:rPr>
                <w:rFonts w:eastAsia="Times New Roman" w:cs="Times New Roman"/>
                <w:b/>
                <w:bCs/>
                <w:color w:val="1F4E78"/>
                <w:sz w:val="18"/>
                <w:szCs w:val="18"/>
                <w:rtl/>
              </w:rPr>
            </w:pPr>
            <w:r w:rsidRPr="00E115BE">
              <w:rPr>
                <w:rFonts w:eastAsia="Times New Roman" w:cs="Times New Roman"/>
                <w:b/>
                <w:bCs/>
                <w:color w:val="1F4E78"/>
                <w:sz w:val="18"/>
                <w:szCs w:val="18"/>
              </w:rPr>
              <w:t>Budget</w:t>
            </w:r>
          </w:p>
        </w:tc>
        <w:tc>
          <w:tcPr>
            <w:tcW w:w="1170" w:type="dxa"/>
            <w:shd w:val="clear" w:color="auto" w:fill="C6D9F1"/>
            <w:noWrap/>
            <w:vAlign w:val="bottom"/>
            <w:hideMark/>
          </w:tcPr>
          <w:p w:rsidR="000B1D49" w:rsidRPr="00E115BE" w:rsidRDefault="000B1D49" w:rsidP="00EA09AE">
            <w:pPr>
              <w:jc w:val="center"/>
              <w:rPr>
                <w:rFonts w:eastAsia="Times New Roman" w:cs="Times New Roman"/>
                <w:b/>
                <w:bCs/>
                <w:sz w:val="18"/>
                <w:szCs w:val="18"/>
                <w:rtl/>
              </w:rPr>
            </w:pPr>
            <w:r w:rsidRPr="00E115BE">
              <w:rPr>
                <w:rFonts w:eastAsia="Times New Roman" w:cs="Times New Roman"/>
                <w:b/>
                <w:bCs/>
                <w:sz w:val="18"/>
                <w:szCs w:val="18"/>
              </w:rPr>
              <w:t>Forecast</w:t>
            </w:r>
          </w:p>
        </w:tc>
        <w:tc>
          <w:tcPr>
            <w:tcW w:w="1170" w:type="dxa"/>
            <w:shd w:val="clear" w:color="auto" w:fill="C6D9F1"/>
            <w:noWrap/>
            <w:vAlign w:val="bottom"/>
            <w:hideMark/>
          </w:tcPr>
          <w:p w:rsidR="000B1D49" w:rsidRPr="00E115BE" w:rsidRDefault="000B1D49" w:rsidP="00EA09AE">
            <w:pPr>
              <w:jc w:val="center"/>
              <w:rPr>
                <w:rFonts w:eastAsia="Times New Roman" w:cs="Times New Roman"/>
                <w:b/>
                <w:bCs/>
                <w:sz w:val="18"/>
                <w:szCs w:val="18"/>
                <w:rtl/>
              </w:rPr>
            </w:pPr>
            <w:r w:rsidRPr="00E115BE">
              <w:rPr>
                <w:rFonts w:eastAsia="Times New Roman" w:cs="Times New Roman"/>
                <w:b/>
                <w:bCs/>
                <w:sz w:val="18"/>
                <w:szCs w:val="18"/>
              </w:rPr>
              <w:t>Forecast</w:t>
            </w:r>
          </w:p>
        </w:tc>
        <w:tc>
          <w:tcPr>
            <w:tcW w:w="1170" w:type="dxa"/>
            <w:shd w:val="clear" w:color="auto" w:fill="C6D9F1"/>
            <w:noWrap/>
            <w:vAlign w:val="bottom"/>
            <w:hideMark/>
          </w:tcPr>
          <w:p w:rsidR="000B1D49" w:rsidRPr="00E115BE" w:rsidRDefault="000B1D49" w:rsidP="00EA09AE">
            <w:pPr>
              <w:jc w:val="center"/>
              <w:rPr>
                <w:rFonts w:eastAsia="Times New Roman" w:cs="Times New Roman"/>
                <w:b/>
                <w:bCs/>
                <w:sz w:val="18"/>
                <w:szCs w:val="18"/>
                <w:rtl/>
              </w:rPr>
            </w:pPr>
            <w:r w:rsidRPr="00E115BE">
              <w:rPr>
                <w:rFonts w:eastAsia="Times New Roman" w:cs="Times New Roman"/>
                <w:b/>
                <w:bCs/>
                <w:sz w:val="18"/>
                <w:szCs w:val="18"/>
              </w:rPr>
              <w:t>Forecast</w:t>
            </w:r>
          </w:p>
        </w:tc>
      </w:tr>
      <w:tr w:rsidR="000B1D49" w:rsidRPr="00E115BE" w:rsidTr="00834578">
        <w:trPr>
          <w:trHeight w:val="20"/>
          <w:jc w:val="center"/>
        </w:trPr>
        <w:tc>
          <w:tcPr>
            <w:tcW w:w="3544" w:type="dxa"/>
            <w:shd w:val="clear" w:color="auto" w:fill="auto"/>
            <w:noWrap/>
            <w:vAlign w:val="bottom"/>
            <w:hideMark/>
          </w:tcPr>
          <w:p w:rsidR="000B1D49" w:rsidRPr="00E115BE" w:rsidRDefault="000B1D49" w:rsidP="00E115BE">
            <w:pPr>
              <w:ind w:firstLineChars="100" w:firstLine="180"/>
              <w:rPr>
                <w:rFonts w:eastAsia="Times New Roman" w:cs="Times New Roman"/>
                <w:b/>
                <w:bCs/>
                <w:sz w:val="18"/>
                <w:szCs w:val="18"/>
                <w:rtl/>
              </w:rPr>
            </w:pPr>
            <w:r w:rsidRPr="00E115BE">
              <w:rPr>
                <w:rFonts w:eastAsia="Times New Roman" w:cs="Times New Roman"/>
                <w:b/>
                <w:bCs/>
                <w:sz w:val="18"/>
                <w:szCs w:val="18"/>
              </w:rPr>
              <w:t>Development Discretionary Grants</w:t>
            </w:r>
          </w:p>
        </w:tc>
        <w:tc>
          <w:tcPr>
            <w:tcW w:w="1440" w:type="dxa"/>
            <w:shd w:val="clear" w:color="auto" w:fill="auto"/>
            <w:noWrap/>
            <w:vAlign w:val="center"/>
            <w:hideMark/>
          </w:tcPr>
          <w:p w:rsidR="000B1D49" w:rsidRPr="00E115BE" w:rsidRDefault="000B1D49" w:rsidP="00EA09AE">
            <w:pPr>
              <w:jc w:val="center"/>
              <w:rPr>
                <w:rFonts w:eastAsia="Times New Roman" w:cs="Times New Roman"/>
                <w:b/>
                <w:bCs/>
                <w:color w:val="1F4E78"/>
                <w:sz w:val="18"/>
                <w:szCs w:val="18"/>
                <w:rtl/>
              </w:rPr>
            </w:pPr>
            <w:r w:rsidRPr="00E115BE">
              <w:rPr>
                <w:rFonts w:eastAsia="Times New Roman" w:cs="Times New Roman"/>
                <w:b/>
                <w:bCs/>
                <w:color w:val="1F4E78"/>
                <w:sz w:val="18"/>
                <w:szCs w:val="18"/>
              </w:rPr>
              <w:t>37,200</w:t>
            </w:r>
          </w:p>
        </w:tc>
        <w:tc>
          <w:tcPr>
            <w:tcW w:w="1170" w:type="dxa"/>
            <w:shd w:val="clear" w:color="auto" w:fill="auto"/>
            <w:noWrap/>
            <w:vAlign w:val="center"/>
            <w:hideMark/>
          </w:tcPr>
          <w:p w:rsidR="000B1D49" w:rsidRPr="00E115BE" w:rsidRDefault="000B1D49" w:rsidP="00EA09AE">
            <w:pPr>
              <w:jc w:val="center"/>
              <w:rPr>
                <w:rFonts w:eastAsia="Times New Roman" w:cs="Times New Roman"/>
                <w:b/>
                <w:bCs/>
                <w:sz w:val="18"/>
                <w:szCs w:val="18"/>
              </w:rPr>
            </w:pPr>
            <w:r w:rsidRPr="00E115BE">
              <w:rPr>
                <w:rFonts w:eastAsia="Times New Roman" w:cs="Times New Roman"/>
                <w:b/>
                <w:bCs/>
                <w:sz w:val="18"/>
                <w:szCs w:val="18"/>
              </w:rPr>
              <w:t>30,800</w:t>
            </w:r>
          </w:p>
        </w:tc>
        <w:tc>
          <w:tcPr>
            <w:tcW w:w="1170" w:type="dxa"/>
            <w:shd w:val="clear" w:color="auto" w:fill="auto"/>
            <w:noWrap/>
            <w:vAlign w:val="center"/>
            <w:hideMark/>
          </w:tcPr>
          <w:p w:rsidR="000B1D49" w:rsidRPr="00E115BE" w:rsidRDefault="000B1D49" w:rsidP="00EA09AE">
            <w:pPr>
              <w:jc w:val="center"/>
              <w:rPr>
                <w:rFonts w:eastAsia="Times New Roman" w:cs="Times New Roman"/>
                <w:b/>
                <w:bCs/>
                <w:sz w:val="18"/>
                <w:szCs w:val="18"/>
              </w:rPr>
            </w:pPr>
            <w:r w:rsidRPr="00E115BE">
              <w:rPr>
                <w:rFonts w:eastAsia="Times New Roman" w:cs="Times New Roman"/>
                <w:b/>
                <w:bCs/>
                <w:sz w:val="18"/>
                <w:szCs w:val="18"/>
              </w:rPr>
              <w:t>31,200</w:t>
            </w:r>
          </w:p>
        </w:tc>
        <w:tc>
          <w:tcPr>
            <w:tcW w:w="1170" w:type="dxa"/>
            <w:shd w:val="clear" w:color="auto" w:fill="auto"/>
            <w:noWrap/>
            <w:vAlign w:val="bottom"/>
            <w:hideMark/>
          </w:tcPr>
          <w:p w:rsidR="000B1D49" w:rsidRPr="00E115BE" w:rsidRDefault="000B1D49" w:rsidP="00EA09AE">
            <w:pPr>
              <w:jc w:val="right"/>
              <w:rPr>
                <w:rFonts w:eastAsia="Times New Roman" w:cs="Times New Roman"/>
                <w:b/>
                <w:bCs/>
                <w:sz w:val="18"/>
                <w:szCs w:val="18"/>
              </w:rPr>
            </w:pPr>
            <w:r w:rsidRPr="00E115BE">
              <w:rPr>
                <w:rFonts w:eastAsia="Times New Roman" w:cs="Times New Roman"/>
                <w:b/>
                <w:bCs/>
                <w:sz w:val="18"/>
                <w:szCs w:val="18"/>
              </w:rPr>
              <w:t xml:space="preserve">                   -   </w:t>
            </w:r>
          </w:p>
        </w:tc>
      </w:tr>
      <w:tr w:rsidR="000B1D49" w:rsidRPr="00E115BE" w:rsidTr="00834578">
        <w:trPr>
          <w:trHeight w:val="20"/>
          <w:jc w:val="center"/>
        </w:trPr>
        <w:tc>
          <w:tcPr>
            <w:tcW w:w="3544" w:type="dxa"/>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ARTF (incentive fund)</w:t>
            </w:r>
          </w:p>
        </w:tc>
        <w:tc>
          <w:tcPr>
            <w:tcW w:w="1440" w:type="dxa"/>
            <w:shd w:val="clear" w:color="auto" w:fill="auto"/>
            <w:noWrap/>
            <w:vAlign w:val="center"/>
            <w:hideMark/>
          </w:tcPr>
          <w:p w:rsidR="000B1D49" w:rsidRPr="00E115BE" w:rsidRDefault="000B1D49" w:rsidP="00EA09AE">
            <w:pPr>
              <w:jc w:val="center"/>
              <w:rPr>
                <w:rFonts w:eastAsia="Times New Roman" w:cs="Times New Roman"/>
                <w:b/>
                <w:bCs/>
                <w:color w:val="1F4E78"/>
                <w:sz w:val="18"/>
                <w:szCs w:val="18"/>
                <w:rtl/>
              </w:rPr>
            </w:pPr>
          </w:p>
        </w:tc>
        <w:tc>
          <w:tcPr>
            <w:tcW w:w="1170" w:type="dxa"/>
            <w:shd w:val="clear" w:color="auto" w:fill="auto"/>
            <w:noWrap/>
            <w:vAlign w:val="center"/>
            <w:hideMark/>
          </w:tcPr>
          <w:p w:rsidR="000B1D49" w:rsidRPr="00E115BE" w:rsidRDefault="000B1D49" w:rsidP="00EA09AE">
            <w:pPr>
              <w:jc w:val="center"/>
              <w:rPr>
                <w:rFonts w:eastAsia="Times New Roman" w:cs="Times New Roman"/>
                <w:sz w:val="18"/>
                <w:szCs w:val="18"/>
              </w:rPr>
            </w:pPr>
          </w:p>
        </w:tc>
        <w:tc>
          <w:tcPr>
            <w:tcW w:w="1170" w:type="dxa"/>
            <w:shd w:val="clear" w:color="auto" w:fill="auto"/>
            <w:noWrap/>
            <w:vAlign w:val="center"/>
            <w:hideMark/>
          </w:tcPr>
          <w:p w:rsidR="000B1D49" w:rsidRPr="00E115BE" w:rsidRDefault="000B1D49" w:rsidP="00EA09AE">
            <w:pPr>
              <w:jc w:val="center"/>
              <w:rPr>
                <w:rFonts w:eastAsia="Times New Roman" w:cs="Times New Roman"/>
                <w:sz w:val="18"/>
                <w:szCs w:val="18"/>
              </w:rPr>
            </w:pPr>
          </w:p>
        </w:tc>
        <w:tc>
          <w:tcPr>
            <w:tcW w:w="1170" w:type="dxa"/>
            <w:shd w:val="clear" w:color="auto" w:fill="auto"/>
            <w:noWrap/>
            <w:vAlign w:val="bottom"/>
            <w:hideMark/>
          </w:tcPr>
          <w:p w:rsidR="000B1D49" w:rsidRPr="00E115BE" w:rsidRDefault="000B1D49" w:rsidP="00EA09AE">
            <w:pPr>
              <w:rPr>
                <w:rFonts w:eastAsia="Times New Roman" w:cs="Times New Roman"/>
                <w:sz w:val="18"/>
                <w:szCs w:val="18"/>
              </w:rPr>
            </w:pPr>
            <w:r w:rsidRPr="00E115BE">
              <w:rPr>
                <w:rFonts w:eastAsia="Times New Roman" w:cs="Times New Roman"/>
                <w:sz w:val="18"/>
                <w:szCs w:val="18"/>
              </w:rPr>
              <w:t> </w:t>
            </w:r>
          </w:p>
        </w:tc>
      </w:tr>
      <w:tr w:rsidR="000B1D49" w:rsidRPr="00E115BE" w:rsidTr="00834578">
        <w:trPr>
          <w:trHeight w:val="20"/>
          <w:jc w:val="center"/>
        </w:trPr>
        <w:tc>
          <w:tcPr>
            <w:tcW w:w="3555" w:type="dxa"/>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ARTF (police incentive fund)</w:t>
            </w:r>
          </w:p>
        </w:tc>
        <w:tc>
          <w:tcPr>
            <w:tcW w:w="1445" w:type="dxa"/>
            <w:shd w:val="clear" w:color="auto" w:fill="auto"/>
            <w:noWrap/>
            <w:vAlign w:val="center"/>
            <w:hideMark/>
          </w:tcPr>
          <w:p w:rsidR="000B1D49" w:rsidRPr="00E115BE" w:rsidRDefault="000B1D49" w:rsidP="00EA09AE">
            <w:pPr>
              <w:jc w:val="center"/>
              <w:rPr>
                <w:rFonts w:eastAsia="Times New Roman" w:cs="Times New Roman"/>
                <w:b/>
                <w:bCs/>
                <w:color w:val="1F4E78"/>
                <w:sz w:val="18"/>
                <w:szCs w:val="18"/>
                <w:rtl/>
              </w:rPr>
            </w:pPr>
            <w:r w:rsidRPr="00E115BE">
              <w:rPr>
                <w:rFonts w:eastAsia="Times New Roman" w:cs="Times New Roman"/>
                <w:b/>
                <w:bCs/>
                <w:color w:val="1F4E78"/>
                <w:sz w:val="18"/>
                <w:szCs w:val="18"/>
              </w:rPr>
              <w:t>29,760</w:t>
            </w:r>
          </w:p>
        </w:tc>
        <w:tc>
          <w:tcPr>
            <w:tcW w:w="1174" w:type="dxa"/>
            <w:shd w:val="clear" w:color="auto" w:fill="auto"/>
            <w:noWrap/>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23,100</w:t>
            </w:r>
          </w:p>
        </w:tc>
        <w:tc>
          <w:tcPr>
            <w:tcW w:w="1174" w:type="dxa"/>
            <w:shd w:val="clear" w:color="auto" w:fill="auto"/>
            <w:noWrap/>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23,400</w:t>
            </w:r>
          </w:p>
        </w:tc>
        <w:tc>
          <w:tcPr>
            <w:tcW w:w="1174" w:type="dxa"/>
            <w:shd w:val="clear" w:color="auto" w:fill="auto"/>
            <w:noWrap/>
            <w:vAlign w:val="bottom"/>
            <w:hideMark/>
          </w:tcPr>
          <w:p w:rsidR="000B1D49" w:rsidRPr="00E115BE" w:rsidRDefault="000B1D49" w:rsidP="00EA09AE">
            <w:pPr>
              <w:jc w:val="right"/>
              <w:rPr>
                <w:rFonts w:eastAsia="Times New Roman" w:cs="Times New Roman"/>
                <w:sz w:val="18"/>
                <w:szCs w:val="18"/>
              </w:rPr>
            </w:pPr>
            <w:r w:rsidRPr="00E115BE">
              <w:rPr>
                <w:rFonts w:eastAsia="Times New Roman" w:cs="Times New Roman"/>
                <w:sz w:val="18"/>
                <w:szCs w:val="18"/>
              </w:rPr>
              <w:t> </w:t>
            </w:r>
          </w:p>
        </w:tc>
      </w:tr>
      <w:tr w:rsidR="000B1D49" w:rsidRPr="00E115BE" w:rsidTr="00834578">
        <w:trPr>
          <w:trHeight w:val="20"/>
          <w:jc w:val="center"/>
        </w:trPr>
        <w:tc>
          <w:tcPr>
            <w:tcW w:w="3555" w:type="dxa"/>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World Bank</w:t>
            </w:r>
          </w:p>
        </w:tc>
        <w:tc>
          <w:tcPr>
            <w:tcW w:w="1445" w:type="dxa"/>
            <w:shd w:val="clear" w:color="auto" w:fill="auto"/>
            <w:noWrap/>
            <w:vAlign w:val="center"/>
            <w:hideMark/>
          </w:tcPr>
          <w:p w:rsidR="000B1D49" w:rsidRPr="00E115BE" w:rsidRDefault="000B1D49" w:rsidP="00EA09AE">
            <w:pPr>
              <w:jc w:val="center"/>
              <w:rPr>
                <w:rFonts w:eastAsia="Times New Roman" w:cs="Times New Roman"/>
                <w:b/>
                <w:bCs/>
                <w:color w:val="1F4E78"/>
                <w:sz w:val="18"/>
                <w:szCs w:val="18"/>
                <w:rtl/>
              </w:rPr>
            </w:pPr>
            <w:r w:rsidRPr="00E115BE">
              <w:rPr>
                <w:rFonts w:eastAsia="Times New Roman" w:cs="Times New Roman"/>
                <w:b/>
                <w:bCs/>
                <w:color w:val="1F4E78"/>
                <w:sz w:val="18"/>
                <w:szCs w:val="18"/>
              </w:rPr>
              <w:t>-</w:t>
            </w:r>
          </w:p>
        </w:tc>
        <w:tc>
          <w:tcPr>
            <w:tcW w:w="1174" w:type="dxa"/>
            <w:shd w:val="clear" w:color="auto" w:fill="auto"/>
            <w:noWrap/>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w:t>
            </w:r>
          </w:p>
        </w:tc>
        <w:tc>
          <w:tcPr>
            <w:tcW w:w="1174" w:type="dxa"/>
            <w:shd w:val="clear" w:color="auto" w:fill="auto"/>
            <w:noWrap/>
            <w:vAlign w:val="center"/>
            <w:hideMark/>
          </w:tcPr>
          <w:p w:rsidR="000B1D49" w:rsidRPr="00E115BE" w:rsidRDefault="000B1D49" w:rsidP="00EA09AE">
            <w:pPr>
              <w:jc w:val="center"/>
              <w:rPr>
                <w:rFonts w:eastAsia="Times New Roman" w:cs="Times New Roman"/>
                <w:sz w:val="18"/>
                <w:szCs w:val="18"/>
              </w:rPr>
            </w:pPr>
          </w:p>
        </w:tc>
        <w:tc>
          <w:tcPr>
            <w:tcW w:w="1174" w:type="dxa"/>
            <w:shd w:val="clear" w:color="auto" w:fill="auto"/>
            <w:noWrap/>
            <w:vAlign w:val="bottom"/>
            <w:hideMark/>
          </w:tcPr>
          <w:p w:rsidR="000B1D49" w:rsidRPr="00E115BE" w:rsidRDefault="000B1D49" w:rsidP="00EA09AE">
            <w:pPr>
              <w:jc w:val="right"/>
              <w:rPr>
                <w:rFonts w:eastAsia="Times New Roman" w:cs="Times New Roman"/>
                <w:sz w:val="18"/>
                <w:szCs w:val="18"/>
              </w:rPr>
            </w:pPr>
            <w:r w:rsidRPr="00E115BE">
              <w:rPr>
                <w:rFonts w:eastAsia="Times New Roman" w:cs="Times New Roman"/>
                <w:sz w:val="18"/>
                <w:szCs w:val="18"/>
              </w:rPr>
              <w:t> </w:t>
            </w:r>
          </w:p>
        </w:tc>
      </w:tr>
      <w:tr w:rsidR="000B1D49" w:rsidRPr="00E115BE" w:rsidTr="00834578">
        <w:trPr>
          <w:trHeight w:val="20"/>
          <w:jc w:val="center"/>
        </w:trPr>
        <w:tc>
          <w:tcPr>
            <w:tcW w:w="3555" w:type="dxa"/>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New Development Policy</w:t>
            </w:r>
          </w:p>
        </w:tc>
        <w:tc>
          <w:tcPr>
            <w:tcW w:w="1445" w:type="dxa"/>
            <w:shd w:val="clear" w:color="auto" w:fill="auto"/>
            <w:noWrap/>
            <w:vAlign w:val="center"/>
            <w:hideMark/>
          </w:tcPr>
          <w:p w:rsidR="000B1D49" w:rsidRPr="00E115BE" w:rsidRDefault="000B1D49" w:rsidP="00EA09AE">
            <w:pPr>
              <w:jc w:val="center"/>
              <w:rPr>
                <w:rFonts w:eastAsia="Times New Roman" w:cs="Times New Roman"/>
                <w:b/>
                <w:bCs/>
                <w:color w:val="1F4E78"/>
                <w:sz w:val="18"/>
                <w:szCs w:val="18"/>
                <w:rtl/>
              </w:rPr>
            </w:pPr>
          </w:p>
        </w:tc>
        <w:tc>
          <w:tcPr>
            <w:tcW w:w="1174" w:type="dxa"/>
            <w:shd w:val="clear" w:color="auto" w:fill="auto"/>
            <w:noWrap/>
            <w:vAlign w:val="center"/>
            <w:hideMark/>
          </w:tcPr>
          <w:p w:rsidR="000B1D49" w:rsidRPr="00E115BE" w:rsidRDefault="000B1D49" w:rsidP="00EA09AE">
            <w:pPr>
              <w:jc w:val="center"/>
              <w:rPr>
                <w:rFonts w:eastAsia="Times New Roman" w:cs="Times New Roman"/>
                <w:sz w:val="18"/>
                <w:szCs w:val="18"/>
              </w:rPr>
            </w:pPr>
          </w:p>
        </w:tc>
        <w:tc>
          <w:tcPr>
            <w:tcW w:w="1174" w:type="dxa"/>
            <w:shd w:val="clear" w:color="auto" w:fill="auto"/>
            <w:noWrap/>
            <w:vAlign w:val="center"/>
            <w:hideMark/>
          </w:tcPr>
          <w:p w:rsidR="000B1D49" w:rsidRPr="00E115BE" w:rsidRDefault="000B1D49" w:rsidP="00EA09AE">
            <w:pPr>
              <w:jc w:val="center"/>
              <w:rPr>
                <w:rFonts w:eastAsia="Times New Roman" w:cs="Times New Roman"/>
                <w:sz w:val="18"/>
                <w:szCs w:val="18"/>
              </w:rPr>
            </w:pPr>
          </w:p>
        </w:tc>
        <w:tc>
          <w:tcPr>
            <w:tcW w:w="1174" w:type="dxa"/>
            <w:shd w:val="clear" w:color="auto" w:fill="auto"/>
            <w:noWrap/>
            <w:vAlign w:val="bottom"/>
            <w:hideMark/>
          </w:tcPr>
          <w:p w:rsidR="000B1D49" w:rsidRPr="00E115BE" w:rsidRDefault="000B1D49" w:rsidP="00EA09AE">
            <w:pPr>
              <w:jc w:val="right"/>
              <w:rPr>
                <w:rFonts w:eastAsia="Times New Roman" w:cs="Times New Roman"/>
                <w:sz w:val="18"/>
                <w:szCs w:val="18"/>
              </w:rPr>
            </w:pPr>
            <w:r w:rsidRPr="00E115BE">
              <w:rPr>
                <w:rFonts w:eastAsia="Times New Roman" w:cs="Times New Roman"/>
                <w:sz w:val="18"/>
                <w:szCs w:val="18"/>
              </w:rPr>
              <w:t> </w:t>
            </w:r>
          </w:p>
        </w:tc>
      </w:tr>
      <w:tr w:rsidR="000B1D49" w:rsidRPr="00E115BE" w:rsidTr="00834578">
        <w:trPr>
          <w:trHeight w:val="20"/>
          <w:jc w:val="center"/>
        </w:trPr>
        <w:tc>
          <w:tcPr>
            <w:tcW w:w="3555" w:type="dxa"/>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SMAF</w:t>
            </w:r>
          </w:p>
        </w:tc>
        <w:tc>
          <w:tcPr>
            <w:tcW w:w="1445" w:type="dxa"/>
            <w:shd w:val="clear" w:color="auto" w:fill="auto"/>
            <w:noWrap/>
            <w:vAlign w:val="center"/>
            <w:hideMark/>
          </w:tcPr>
          <w:p w:rsidR="000B1D49" w:rsidRPr="00E115BE" w:rsidRDefault="000B1D49" w:rsidP="00EA09AE">
            <w:pPr>
              <w:jc w:val="center"/>
              <w:rPr>
                <w:rFonts w:eastAsia="Times New Roman" w:cs="Times New Roman"/>
                <w:b/>
                <w:bCs/>
                <w:color w:val="1F4E78"/>
                <w:sz w:val="18"/>
                <w:szCs w:val="18"/>
                <w:rtl/>
              </w:rPr>
            </w:pPr>
          </w:p>
        </w:tc>
        <w:tc>
          <w:tcPr>
            <w:tcW w:w="1174" w:type="dxa"/>
            <w:shd w:val="clear" w:color="auto" w:fill="auto"/>
            <w:noWrap/>
            <w:vAlign w:val="center"/>
            <w:hideMark/>
          </w:tcPr>
          <w:p w:rsidR="000B1D49" w:rsidRPr="00E115BE" w:rsidRDefault="000B1D49" w:rsidP="00EA09AE">
            <w:pPr>
              <w:jc w:val="center"/>
              <w:rPr>
                <w:rFonts w:eastAsia="Times New Roman" w:cs="Times New Roman"/>
                <w:sz w:val="18"/>
                <w:szCs w:val="18"/>
              </w:rPr>
            </w:pPr>
          </w:p>
        </w:tc>
        <w:tc>
          <w:tcPr>
            <w:tcW w:w="1174" w:type="dxa"/>
            <w:shd w:val="clear" w:color="auto" w:fill="auto"/>
            <w:noWrap/>
            <w:vAlign w:val="center"/>
            <w:hideMark/>
          </w:tcPr>
          <w:p w:rsidR="000B1D49" w:rsidRPr="00E115BE" w:rsidRDefault="000B1D49" w:rsidP="00EA09AE">
            <w:pPr>
              <w:jc w:val="center"/>
              <w:rPr>
                <w:rFonts w:eastAsia="Times New Roman" w:cs="Times New Roman"/>
                <w:sz w:val="18"/>
                <w:szCs w:val="18"/>
              </w:rPr>
            </w:pPr>
          </w:p>
        </w:tc>
        <w:tc>
          <w:tcPr>
            <w:tcW w:w="1174" w:type="dxa"/>
            <w:shd w:val="clear" w:color="auto" w:fill="auto"/>
            <w:noWrap/>
            <w:vAlign w:val="bottom"/>
            <w:hideMark/>
          </w:tcPr>
          <w:p w:rsidR="000B1D49" w:rsidRPr="00E115BE" w:rsidRDefault="000B1D49" w:rsidP="00EA09AE">
            <w:pPr>
              <w:jc w:val="right"/>
              <w:rPr>
                <w:rFonts w:eastAsia="Times New Roman" w:cs="Times New Roman"/>
                <w:sz w:val="18"/>
                <w:szCs w:val="18"/>
              </w:rPr>
            </w:pPr>
            <w:r w:rsidRPr="00E115BE">
              <w:rPr>
                <w:rFonts w:eastAsia="Times New Roman" w:cs="Times New Roman"/>
                <w:sz w:val="18"/>
                <w:szCs w:val="18"/>
              </w:rPr>
              <w:t> </w:t>
            </w:r>
          </w:p>
        </w:tc>
      </w:tr>
      <w:tr w:rsidR="000B1D49" w:rsidRPr="00E115BE" w:rsidTr="00834578">
        <w:trPr>
          <w:trHeight w:val="20"/>
          <w:jc w:val="center"/>
        </w:trPr>
        <w:tc>
          <w:tcPr>
            <w:tcW w:w="3555" w:type="dxa"/>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European Union (Refugees &amp; Repatriation Fund)</w:t>
            </w:r>
          </w:p>
        </w:tc>
        <w:tc>
          <w:tcPr>
            <w:tcW w:w="1445" w:type="dxa"/>
            <w:shd w:val="clear" w:color="auto" w:fill="auto"/>
            <w:noWrap/>
            <w:vAlign w:val="center"/>
            <w:hideMark/>
          </w:tcPr>
          <w:p w:rsidR="000B1D49" w:rsidRPr="00E115BE" w:rsidRDefault="000B1D49" w:rsidP="00EA09AE">
            <w:pPr>
              <w:jc w:val="center"/>
              <w:rPr>
                <w:rFonts w:eastAsia="Times New Roman" w:cs="Times New Roman"/>
                <w:b/>
                <w:bCs/>
                <w:color w:val="1F4E78"/>
                <w:sz w:val="18"/>
                <w:szCs w:val="18"/>
                <w:rtl/>
              </w:rPr>
            </w:pPr>
          </w:p>
        </w:tc>
        <w:tc>
          <w:tcPr>
            <w:tcW w:w="1174" w:type="dxa"/>
            <w:shd w:val="clear" w:color="auto" w:fill="auto"/>
            <w:noWrap/>
            <w:vAlign w:val="center"/>
            <w:hideMark/>
          </w:tcPr>
          <w:p w:rsidR="000B1D49" w:rsidRPr="00E115BE" w:rsidRDefault="000B1D49" w:rsidP="00EA09AE">
            <w:pPr>
              <w:jc w:val="center"/>
              <w:rPr>
                <w:rFonts w:eastAsia="Times New Roman" w:cs="Times New Roman"/>
                <w:sz w:val="18"/>
                <w:szCs w:val="18"/>
              </w:rPr>
            </w:pPr>
          </w:p>
        </w:tc>
        <w:tc>
          <w:tcPr>
            <w:tcW w:w="1174" w:type="dxa"/>
            <w:shd w:val="clear" w:color="auto" w:fill="auto"/>
            <w:noWrap/>
            <w:vAlign w:val="center"/>
            <w:hideMark/>
          </w:tcPr>
          <w:p w:rsidR="000B1D49" w:rsidRPr="00E115BE" w:rsidRDefault="000B1D49" w:rsidP="00EA09AE">
            <w:pPr>
              <w:jc w:val="center"/>
              <w:rPr>
                <w:rFonts w:eastAsia="Times New Roman" w:cs="Times New Roman"/>
                <w:sz w:val="18"/>
                <w:szCs w:val="18"/>
              </w:rPr>
            </w:pPr>
          </w:p>
        </w:tc>
        <w:tc>
          <w:tcPr>
            <w:tcW w:w="1174" w:type="dxa"/>
            <w:shd w:val="clear" w:color="auto" w:fill="auto"/>
            <w:noWrap/>
            <w:vAlign w:val="bottom"/>
            <w:hideMark/>
          </w:tcPr>
          <w:p w:rsidR="000B1D49" w:rsidRPr="00E115BE" w:rsidRDefault="000B1D49" w:rsidP="00EA09AE">
            <w:pPr>
              <w:jc w:val="right"/>
              <w:rPr>
                <w:rFonts w:eastAsia="Times New Roman" w:cs="Times New Roman"/>
                <w:sz w:val="18"/>
                <w:szCs w:val="18"/>
              </w:rPr>
            </w:pPr>
            <w:r w:rsidRPr="00E115BE">
              <w:rPr>
                <w:rFonts w:eastAsia="Times New Roman" w:cs="Times New Roman"/>
                <w:sz w:val="18"/>
                <w:szCs w:val="18"/>
              </w:rPr>
              <w:t> </w:t>
            </w:r>
          </w:p>
        </w:tc>
      </w:tr>
      <w:tr w:rsidR="000B1D49" w:rsidRPr="00E115BE" w:rsidTr="00834578">
        <w:trPr>
          <w:trHeight w:val="20"/>
          <w:jc w:val="center"/>
        </w:trPr>
        <w:tc>
          <w:tcPr>
            <w:tcW w:w="3555" w:type="dxa"/>
            <w:shd w:val="clear" w:color="auto" w:fill="auto"/>
            <w:noWrap/>
            <w:vAlign w:val="bottom"/>
            <w:hideMark/>
          </w:tcPr>
          <w:p w:rsidR="000B1D49" w:rsidRPr="00E115BE" w:rsidRDefault="000B1D49" w:rsidP="00E115BE">
            <w:pPr>
              <w:ind w:firstLineChars="200" w:firstLine="360"/>
              <w:rPr>
                <w:rFonts w:eastAsia="Times New Roman" w:cs="Times New Roman"/>
                <w:sz w:val="18"/>
                <w:szCs w:val="18"/>
              </w:rPr>
            </w:pPr>
            <w:r w:rsidRPr="00E115BE">
              <w:rPr>
                <w:rFonts w:eastAsia="Times New Roman" w:cs="Times New Roman"/>
                <w:sz w:val="18"/>
                <w:szCs w:val="18"/>
              </w:rPr>
              <w:t>European Union (Governance building contract)</w:t>
            </w:r>
          </w:p>
        </w:tc>
        <w:tc>
          <w:tcPr>
            <w:tcW w:w="1445" w:type="dxa"/>
            <w:shd w:val="clear" w:color="auto" w:fill="auto"/>
            <w:noWrap/>
            <w:vAlign w:val="center"/>
            <w:hideMark/>
          </w:tcPr>
          <w:p w:rsidR="000B1D49" w:rsidRPr="00E115BE" w:rsidRDefault="000B1D49" w:rsidP="00EA09AE">
            <w:pPr>
              <w:jc w:val="center"/>
              <w:rPr>
                <w:rFonts w:eastAsia="Times New Roman" w:cs="Times New Roman"/>
                <w:b/>
                <w:bCs/>
                <w:color w:val="1F4E78"/>
                <w:sz w:val="18"/>
                <w:szCs w:val="18"/>
                <w:rtl/>
              </w:rPr>
            </w:pPr>
            <w:r w:rsidRPr="00E115BE">
              <w:rPr>
                <w:rFonts w:eastAsia="Times New Roman" w:cs="Times New Roman"/>
                <w:b/>
                <w:bCs/>
                <w:color w:val="1F4E78"/>
                <w:sz w:val="18"/>
                <w:szCs w:val="18"/>
              </w:rPr>
              <w:t>7,440</w:t>
            </w:r>
          </w:p>
        </w:tc>
        <w:tc>
          <w:tcPr>
            <w:tcW w:w="1174" w:type="dxa"/>
            <w:shd w:val="clear" w:color="auto" w:fill="auto"/>
            <w:noWrap/>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7,700</w:t>
            </w:r>
          </w:p>
        </w:tc>
        <w:tc>
          <w:tcPr>
            <w:tcW w:w="1174" w:type="dxa"/>
            <w:shd w:val="clear" w:color="auto" w:fill="auto"/>
            <w:noWrap/>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7,800</w:t>
            </w:r>
          </w:p>
        </w:tc>
        <w:tc>
          <w:tcPr>
            <w:tcW w:w="1174" w:type="dxa"/>
            <w:shd w:val="clear" w:color="auto" w:fill="auto"/>
            <w:noWrap/>
            <w:vAlign w:val="bottom"/>
            <w:hideMark/>
          </w:tcPr>
          <w:p w:rsidR="000B1D49" w:rsidRPr="00E115BE" w:rsidRDefault="000B1D49" w:rsidP="00EA09AE">
            <w:pPr>
              <w:jc w:val="right"/>
              <w:rPr>
                <w:rFonts w:eastAsia="Times New Roman" w:cs="Times New Roman"/>
                <w:sz w:val="18"/>
                <w:szCs w:val="18"/>
              </w:rPr>
            </w:pPr>
            <w:r w:rsidRPr="00E115BE">
              <w:rPr>
                <w:rFonts w:eastAsia="Times New Roman" w:cs="Times New Roman"/>
                <w:sz w:val="18"/>
                <w:szCs w:val="18"/>
              </w:rPr>
              <w:t> </w:t>
            </w:r>
          </w:p>
        </w:tc>
      </w:tr>
    </w:tbl>
    <w:p w:rsidR="000B1D49" w:rsidRPr="005A49D3" w:rsidRDefault="000B1D49" w:rsidP="000B1D49">
      <w:pPr>
        <w:jc w:val="right"/>
        <w:rPr>
          <w:rFonts w:ascii="Times New Roman" w:hAnsi="Times New Roman" w:cs="Times New Roman"/>
          <w:b/>
          <w:bCs/>
          <w:szCs w:val="22"/>
          <w:rtl/>
        </w:rPr>
      </w:pPr>
    </w:p>
    <w:p w:rsidR="004C0A4A" w:rsidRPr="005A49D3" w:rsidRDefault="004C0A4A" w:rsidP="00A94EB7">
      <w:pPr>
        <w:pStyle w:val="Heading3"/>
        <w:rPr>
          <w:lang w:bidi="ps-AF"/>
        </w:rPr>
      </w:pPr>
      <w:bookmarkStart w:id="88" w:name="_Toc535744286"/>
      <w:bookmarkStart w:id="89" w:name="_Toc535750215"/>
      <w:bookmarkStart w:id="90" w:name="_Toc529110305"/>
      <w:r w:rsidRPr="005A49D3">
        <w:rPr>
          <w:lang w:bidi="ps-AF"/>
        </w:rPr>
        <w:t>Non-Discretionary Grants Including Loans</w:t>
      </w:r>
      <w:bookmarkEnd w:id="88"/>
      <w:bookmarkEnd w:id="89"/>
    </w:p>
    <w:bookmarkEnd w:id="90"/>
    <w:p w:rsidR="000B1D49" w:rsidRPr="00E115BE" w:rsidRDefault="00834578" w:rsidP="00834578">
      <w:pPr>
        <w:spacing w:line="276" w:lineRule="auto"/>
        <w:jc w:val="both"/>
        <w:rPr>
          <w:spacing w:val="-4"/>
          <w:szCs w:val="22"/>
          <w:rtl/>
          <w:lang w:bidi="ps-AF"/>
        </w:rPr>
      </w:pPr>
      <w:r>
        <w:rPr>
          <w:spacing w:val="-4"/>
          <w:szCs w:val="22"/>
          <w:lang w:bidi="ps-AF"/>
        </w:rPr>
        <w:t>Aid</w:t>
      </w:r>
      <w:r w:rsidR="000B1D49" w:rsidRPr="00E115BE">
        <w:rPr>
          <w:spacing w:val="-4"/>
          <w:szCs w:val="22"/>
          <w:lang w:bidi="ps-AF"/>
        </w:rPr>
        <w:t xml:space="preserve"> </w:t>
      </w:r>
      <w:r>
        <w:rPr>
          <w:spacing w:val="-4"/>
          <w:szCs w:val="22"/>
          <w:lang w:bidi="ps-AF"/>
        </w:rPr>
        <w:t>in</w:t>
      </w:r>
      <w:r w:rsidR="000B1D49" w:rsidRPr="00E115BE">
        <w:rPr>
          <w:spacing w:val="-4"/>
          <w:szCs w:val="22"/>
          <w:lang w:bidi="ps-AF"/>
        </w:rPr>
        <w:t xml:space="preserve"> </w:t>
      </w:r>
      <w:r>
        <w:rPr>
          <w:spacing w:val="-4"/>
          <w:szCs w:val="22"/>
          <w:lang w:bidi="ps-AF"/>
        </w:rPr>
        <w:t>non-discretionary budget is</w:t>
      </w:r>
      <w:r w:rsidR="000B1D49" w:rsidRPr="00E115BE">
        <w:rPr>
          <w:spacing w:val="-4"/>
          <w:szCs w:val="22"/>
          <w:lang w:bidi="ps-AF"/>
        </w:rPr>
        <w:t xml:space="preserve"> also planned about 16% less than FY 1397 in FY 1398. Since the Ministry of Finance can increase the off-budget funds during the year following the cabinet approval, funds for off-budget are considered in a conservative manner in FY 1398 budget.</w:t>
      </w:r>
    </w:p>
    <w:p w:rsidR="000B1D49" w:rsidRDefault="000B1D49" w:rsidP="00834578">
      <w:pPr>
        <w:spacing w:line="276" w:lineRule="auto"/>
        <w:jc w:val="both"/>
        <w:rPr>
          <w:spacing w:val="-4"/>
          <w:szCs w:val="22"/>
          <w:lang w:bidi="ps-AF"/>
        </w:rPr>
      </w:pPr>
      <w:r w:rsidRPr="00E115BE">
        <w:rPr>
          <w:spacing w:val="-4"/>
          <w:szCs w:val="22"/>
          <w:lang w:bidi="ps-AF"/>
        </w:rPr>
        <w:lastRenderedPageBreak/>
        <w:t xml:space="preserve">The total sum of loans in FY 1398 amounts to over </w:t>
      </w:r>
      <w:r w:rsidR="00834578">
        <w:rPr>
          <w:spacing w:val="-4"/>
          <w:szCs w:val="22"/>
          <w:lang w:bidi="ps-AF"/>
        </w:rPr>
        <w:t>AFN</w:t>
      </w:r>
      <w:r w:rsidRPr="00E115BE">
        <w:rPr>
          <w:spacing w:val="-4"/>
          <w:szCs w:val="22"/>
          <w:lang w:bidi="ps-AF"/>
        </w:rPr>
        <w:t>574 million which is to fund the infrastructure projects.</w:t>
      </w:r>
    </w:p>
    <w:p w:rsidR="006C565A" w:rsidRPr="006C565A" w:rsidRDefault="006C565A" w:rsidP="00834578">
      <w:pPr>
        <w:spacing w:line="276" w:lineRule="auto"/>
        <w:jc w:val="both"/>
        <w:rPr>
          <w:spacing w:val="-4"/>
          <w:sz w:val="12"/>
          <w:szCs w:val="12"/>
          <w:lang w:bidi="ps-AF"/>
        </w:rPr>
      </w:pPr>
    </w:p>
    <w:p w:rsidR="006C565A" w:rsidRPr="006C565A" w:rsidRDefault="006C565A" w:rsidP="006C565A">
      <w:pPr>
        <w:pStyle w:val="Caption"/>
        <w:bidi w:val="0"/>
        <w:rPr>
          <w:rFonts w:ascii="Garamond" w:hAnsi="Garamond"/>
          <w:sz w:val="22"/>
          <w:szCs w:val="22"/>
          <w:rtl/>
          <w:lang w:bidi="ps-AF"/>
        </w:rPr>
      </w:pPr>
      <w:bookmarkStart w:id="91" w:name="_Toc535750270"/>
      <w:bookmarkStart w:id="92" w:name="_Toc529090690"/>
      <w:bookmarkStart w:id="93" w:name="_Toc529119681"/>
      <w:r w:rsidRPr="006C565A">
        <w:rPr>
          <w:rFonts w:ascii="Garamond" w:hAnsi="Garamond"/>
          <w:sz w:val="22"/>
          <w:szCs w:val="22"/>
        </w:rPr>
        <w:t xml:space="preserve">Table </w:t>
      </w:r>
      <w:r w:rsidRPr="006C565A">
        <w:rPr>
          <w:rFonts w:ascii="Garamond" w:hAnsi="Garamond"/>
          <w:sz w:val="22"/>
          <w:szCs w:val="22"/>
        </w:rPr>
        <w:fldChar w:fldCharType="begin"/>
      </w:r>
      <w:r w:rsidRPr="006C565A">
        <w:rPr>
          <w:rFonts w:ascii="Garamond" w:hAnsi="Garamond"/>
          <w:sz w:val="22"/>
          <w:szCs w:val="22"/>
        </w:rPr>
        <w:instrText xml:space="preserve"> SEQ Table \* ARABIC </w:instrText>
      </w:r>
      <w:r w:rsidRPr="006C565A">
        <w:rPr>
          <w:rFonts w:ascii="Garamond" w:hAnsi="Garamond"/>
          <w:sz w:val="22"/>
          <w:szCs w:val="22"/>
        </w:rPr>
        <w:fldChar w:fldCharType="separate"/>
      </w:r>
      <w:r w:rsidR="00862183">
        <w:rPr>
          <w:rFonts w:ascii="Garamond" w:hAnsi="Garamond"/>
          <w:noProof/>
          <w:sz w:val="22"/>
          <w:szCs w:val="22"/>
        </w:rPr>
        <w:t>9</w:t>
      </w:r>
      <w:r w:rsidRPr="006C565A">
        <w:rPr>
          <w:rFonts w:ascii="Garamond" w:hAnsi="Garamond"/>
          <w:sz w:val="22"/>
          <w:szCs w:val="22"/>
        </w:rPr>
        <w:fldChar w:fldCharType="end"/>
      </w:r>
      <w:r>
        <w:rPr>
          <w:rFonts w:ascii="Garamond" w:hAnsi="Garamond"/>
          <w:sz w:val="22"/>
          <w:szCs w:val="22"/>
        </w:rPr>
        <w:t xml:space="preserve"> </w:t>
      </w:r>
      <w:r w:rsidRPr="006C565A">
        <w:rPr>
          <w:rFonts w:ascii="Garamond" w:hAnsi="Garamond"/>
          <w:sz w:val="22"/>
          <w:szCs w:val="22"/>
        </w:rPr>
        <w:t>Non-Discretionary Grants Including Loans in FY 1398 Development Budget</w:t>
      </w:r>
      <w:bookmarkEnd w:id="91"/>
    </w:p>
    <w:tbl>
      <w:tblPr>
        <w:tblW w:w="5000" w:type="pct"/>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006"/>
        <w:gridCol w:w="2330"/>
      </w:tblGrid>
      <w:tr w:rsidR="000B1D49" w:rsidRPr="00E115BE" w:rsidTr="00E0532A">
        <w:trPr>
          <w:trHeight w:val="20"/>
          <w:jc w:val="center"/>
        </w:trPr>
        <w:tc>
          <w:tcPr>
            <w:tcW w:w="6006" w:type="dxa"/>
            <w:shd w:val="clear" w:color="auto" w:fill="9CC2E5" w:themeFill="accent1" w:themeFillTint="99"/>
            <w:noWrap/>
            <w:tcMar>
              <w:top w:w="15" w:type="dxa"/>
              <w:left w:w="15" w:type="dxa"/>
              <w:bottom w:w="0" w:type="dxa"/>
              <w:right w:w="15" w:type="dxa"/>
            </w:tcMar>
            <w:vAlign w:val="center"/>
            <w:hideMark/>
          </w:tcPr>
          <w:bookmarkEnd w:id="92"/>
          <w:bookmarkEnd w:id="93"/>
          <w:p w:rsidR="000B1D49" w:rsidRPr="00E115BE" w:rsidRDefault="000B1D49" w:rsidP="00C97BE2">
            <w:pPr>
              <w:bidi/>
              <w:jc w:val="right"/>
              <w:rPr>
                <w:rFonts w:eastAsia="Times New Roman" w:cs="Times New Roman"/>
                <w:b/>
                <w:bCs/>
                <w:sz w:val="18"/>
                <w:szCs w:val="18"/>
              </w:rPr>
            </w:pPr>
            <w:r w:rsidRPr="00E115BE">
              <w:rPr>
                <w:rFonts w:eastAsia="Times New Roman" w:cs="Times New Roman"/>
                <w:b/>
                <w:bCs/>
                <w:sz w:val="18"/>
                <w:szCs w:val="18"/>
              </w:rPr>
              <w:t>Off-Budget Donors</w:t>
            </w:r>
          </w:p>
        </w:tc>
        <w:tc>
          <w:tcPr>
            <w:tcW w:w="2330" w:type="dxa"/>
            <w:shd w:val="clear" w:color="auto" w:fill="9CC2E5" w:themeFill="accent1" w:themeFillTint="99"/>
            <w:noWrap/>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b/>
                <w:bCs/>
                <w:sz w:val="18"/>
                <w:szCs w:val="18"/>
              </w:rPr>
            </w:pPr>
            <w:r w:rsidRPr="00E115BE">
              <w:rPr>
                <w:rFonts w:eastAsia="Times New Roman" w:cs="Times New Roman"/>
                <w:b/>
                <w:bCs/>
                <w:sz w:val="18"/>
                <w:szCs w:val="18"/>
              </w:rPr>
              <w:t>1398 Budget</w:t>
            </w:r>
          </w:p>
        </w:tc>
      </w:tr>
      <w:tr w:rsidR="000B1D49" w:rsidRPr="00E115BE" w:rsidTr="00E115BE">
        <w:trPr>
          <w:trHeight w:val="20"/>
          <w:jc w:val="center"/>
        </w:trPr>
        <w:tc>
          <w:tcPr>
            <w:tcW w:w="6006" w:type="dxa"/>
            <w:shd w:val="clear" w:color="auto" w:fill="D5DCE4"/>
            <w:noWrap/>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b/>
                <w:bCs/>
                <w:sz w:val="18"/>
                <w:szCs w:val="18"/>
              </w:rPr>
            </w:pPr>
            <w:r w:rsidRPr="00E115BE">
              <w:rPr>
                <w:rFonts w:eastAsia="Times New Roman" w:cs="Times New Roman"/>
                <w:b/>
                <w:bCs/>
                <w:sz w:val="18"/>
                <w:szCs w:val="18"/>
              </w:rPr>
              <w:t>Total Off-Budget Aids</w:t>
            </w:r>
          </w:p>
        </w:tc>
        <w:tc>
          <w:tcPr>
            <w:tcW w:w="2330" w:type="dxa"/>
            <w:shd w:val="clear" w:color="auto" w:fill="D5DCE4"/>
            <w:noWrap/>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b/>
                <w:bCs/>
                <w:sz w:val="18"/>
                <w:szCs w:val="18"/>
              </w:rPr>
            </w:pPr>
            <w:r w:rsidRPr="00E115BE">
              <w:rPr>
                <w:rFonts w:eastAsia="Times New Roman" w:cs="Times New Roman"/>
                <w:b/>
                <w:bCs/>
                <w:sz w:val="18"/>
                <w:szCs w:val="18"/>
              </w:rPr>
              <w:t>62,398,033,700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Vaccination and Immunization Union</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452,538,000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European Union</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484,199,000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Australia</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62,064,000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Germany</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744,000,000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Italy</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240,636,000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Asian Development Bank</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14,924,393,729</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World Bank</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14,451,944,658</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International Office of Anti-Narcotics Law Enforcement</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161,710,871</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International Financial Facilities</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585,676,800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Kazakhstan Government</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22,410,244</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Denmark</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18,600,000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International Organization on Agricultural Development</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1,525,200,000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UNESCO</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6,913,174</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ARTF</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21,505,895,198</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Peace and Reconciliation Trust Fund</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17,426,699</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SAARC</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27,400,000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TDF</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1,421,609,000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France</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4,869,156</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UNHCR</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17,342,000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US Aids</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777,852,000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Kuwait</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1,000,000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India</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2,507,504,171</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China</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33,500,000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CASA-1000</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744,000,000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World Bank International Development Assistance</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1,396,159,000</w:t>
            </w:r>
          </w:p>
        </w:tc>
      </w:tr>
      <w:tr w:rsidR="000B1D49" w:rsidRPr="00E115BE" w:rsidTr="00E115BE">
        <w:trPr>
          <w:trHeight w:val="20"/>
          <w:jc w:val="center"/>
        </w:trPr>
        <w:tc>
          <w:tcPr>
            <w:tcW w:w="6006" w:type="dxa"/>
            <w:shd w:val="clear" w:color="auto" w:fill="auto"/>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Global Fund</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263,190,000</w:t>
            </w:r>
          </w:p>
        </w:tc>
      </w:tr>
      <w:tr w:rsidR="000B1D49" w:rsidRPr="00E115BE" w:rsidTr="00E115BE">
        <w:trPr>
          <w:trHeight w:val="20"/>
          <w:jc w:val="center"/>
        </w:trPr>
        <w:tc>
          <w:tcPr>
            <w:tcW w:w="6006" w:type="dxa"/>
            <w:shd w:val="clear" w:color="000000" w:fill="9BC2E6"/>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b/>
                <w:bCs/>
                <w:sz w:val="18"/>
                <w:szCs w:val="18"/>
              </w:rPr>
            </w:pPr>
            <w:r w:rsidRPr="00E115BE">
              <w:rPr>
                <w:rFonts w:eastAsia="Times New Roman" w:cs="Times New Roman"/>
                <w:b/>
                <w:bCs/>
                <w:sz w:val="18"/>
                <w:szCs w:val="18"/>
              </w:rPr>
              <w:t>Loans</w:t>
            </w:r>
          </w:p>
        </w:tc>
        <w:tc>
          <w:tcPr>
            <w:tcW w:w="2330" w:type="dxa"/>
            <w:shd w:val="clear" w:color="000000" w:fill="9BC2E6"/>
            <w:noWrap/>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b/>
                <w:bCs/>
                <w:sz w:val="18"/>
                <w:szCs w:val="18"/>
              </w:rPr>
            </w:pPr>
            <w:r w:rsidRPr="00E115BE">
              <w:rPr>
                <w:rFonts w:eastAsia="Times New Roman" w:cs="Times New Roman"/>
                <w:b/>
                <w:bCs/>
                <w:sz w:val="18"/>
                <w:szCs w:val="18"/>
              </w:rPr>
              <w:t>574,000,000</w:t>
            </w:r>
          </w:p>
        </w:tc>
      </w:tr>
      <w:tr w:rsidR="000B1D49" w:rsidRPr="00E115BE" w:rsidTr="00E115BE">
        <w:trPr>
          <w:trHeight w:val="20"/>
          <w:jc w:val="center"/>
        </w:trPr>
        <w:tc>
          <w:tcPr>
            <w:tcW w:w="6006" w:type="dxa"/>
            <w:shd w:val="clear" w:color="auto" w:fill="auto"/>
            <w:noWrap/>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Italy</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199,000,000</w:t>
            </w:r>
          </w:p>
        </w:tc>
      </w:tr>
      <w:tr w:rsidR="000B1D49" w:rsidRPr="00E115BE" w:rsidTr="00E115BE">
        <w:trPr>
          <w:trHeight w:val="20"/>
          <w:jc w:val="center"/>
        </w:trPr>
        <w:tc>
          <w:tcPr>
            <w:tcW w:w="6006" w:type="dxa"/>
            <w:shd w:val="clear" w:color="auto" w:fill="auto"/>
            <w:noWrap/>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IDB</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25,000,000</w:t>
            </w:r>
          </w:p>
        </w:tc>
      </w:tr>
      <w:tr w:rsidR="000B1D49" w:rsidRPr="00E115BE" w:rsidTr="00E115BE">
        <w:trPr>
          <w:trHeight w:val="20"/>
          <w:jc w:val="center"/>
        </w:trPr>
        <w:tc>
          <w:tcPr>
            <w:tcW w:w="6006" w:type="dxa"/>
            <w:shd w:val="clear" w:color="auto" w:fill="auto"/>
            <w:noWrap/>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sz w:val="18"/>
                <w:szCs w:val="18"/>
              </w:rPr>
            </w:pPr>
            <w:r w:rsidRPr="00E115BE">
              <w:rPr>
                <w:rFonts w:eastAsia="Times New Roman" w:cs="Times New Roman"/>
                <w:sz w:val="18"/>
                <w:szCs w:val="18"/>
              </w:rPr>
              <w:t>Saudi Development Fund</w:t>
            </w:r>
          </w:p>
        </w:tc>
        <w:tc>
          <w:tcPr>
            <w:tcW w:w="2330" w:type="dxa"/>
            <w:shd w:val="clear" w:color="auto" w:fill="auto"/>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sz w:val="18"/>
                <w:szCs w:val="18"/>
              </w:rPr>
            </w:pPr>
            <w:r w:rsidRPr="00E115BE">
              <w:rPr>
                <w:rFonts w:eastAsia="Times New Roman" w:cs="Times New Roman"/>
                <w:sz w:val="18"/>
                <w:szCs w:val="18"/>
              </w:rPr>
              <w:t>350,000,000</w:t>
            </w:r>
          </w:p>
        </w:tc>
      </w:tr>
      <w:tr w:rsidR="000B1D49" w:rsidRPr="00E115BE" w:rsidTr="00E115BE">
        <w:trPr>
          <w:trHeight w:val="20"/>
          <w:jc w:val="center"/>
        </w:trPr>
        <w:tc>
          <w:tcPr>
            <w:tcW w:w="6006" w:type="dxa"/>
            <w:shd w:val="clear" w:color="auto" w:fill="ACB9CA"/>
            <w:noWrap/>
            <w:tcMar>
              <w:top w:w="15" w:type="dxa"/>
              <w:left w:w="15" w:type="dxa"/>
              <w:bottom w:w="0" w:type="dxa"/>
              <w:right w:w="15" w:type="dxa"/>
            </w:tcMar>
            <w:vAlign w:val="center"/>
            <w:hideMark/>
          </w:tcPr>
          <w:p w:rsidR="000B1D49" w:rsidRPr="00E115BE" w:rsidRDefault="000B1D49" w:rsidP="00C97BE2">
            <w:pPr>
              <w:bidi/>
              <w:jc w:val="right"/>
              <w:rPr>
                <w:rFonts w:eastAsia="Times New Roman" w:cs="Times New Roman"/>
                <w:b/>
                <w:bCs/>
                <w:sz w:val="18"/>
                <w:szCs w:val="18"/>
              </w:rPr>
            </w:pPr>
            <w:r w:rsidRPr="00E115BE">
              <w:rPr>
                <w:rFonts w:eastAsia="Times New Roman" w:cs="Times New Roman"/>
                <w:b/>
                <w:bCs/>
                <w:sz w:val="18"/>
                <w:szCs w:val="18"/>
              </w:rPr>
              <w:t>Total Off-Budget Aids and Loans</w:t>
            </w:r>
          </w:p>
        </w:tc>
        <w:tc>
          <w:tcPr>
            <w:tcW w:w="2330" w:type="dxa"/>
            <w:shd w:val="clear" w:color="auto" w:fill="ACB9CA"/>
            <w:noWrap/>
            <w:tcMar>
              <w:top w:w="15" w:type="dxa"/>
              <w:left w:w="15" w:type="dxa"/>
              <w:bottom w:w="0" w:type="dxa"/>
              <w:right w:w="15" w:type="dxa"/>
            </w:tcMar>
            <w:vAlign w:val="center"/>
            <w:hideMark/>
          </w:tcPr>
          <w:p w:rsidR="000B1D49" w:rsidRPr="00E115BE" w:rsidRDefault="000B1D49" w:rsidP="00EA09AE">
            <w:pPr>
              <w:jc w:val="center"/>
              <w:rPr>
                <w:rFonts w:eastAsia="Times New Roman" w:cs="Times New Roman"/>
                <w:b/>
                <w:bCs/>
                <w:sz w:val="18"/>
                <w:szCs w:val="18"/>
              </w:rPr>
            </w:pPr>
            <w:r w:rsidRPr="00E115BE">
              <w:rPr>
                <w:rFonts w:eastAsia="Times New Roman" w:cs="Times New Roman"/>
                <w:b/>
                <w:bCs/>
                <w:sz w:val="18"/>
                <w:szCs w:val="18"/>
              </w:rPr>
              <w:t>62,972,033,700</w:t>
            </w:r>
          </w:p>
        </w:tc>
      </w:tr>
    </w:tbl>
    <w:p w:rsidR="00AD5B9F" w:rsidRPr="005A49D3" w:rsidRDefault="00AD5B9F" w:rsidP="00EA09AE">
      <w:pPr>
        <w:rPr>
          <w:b/>
          <w:szCs w:val="22"/>
        </w:rPr>
      </w:pPr>
    </w:p>
    <w:p w:rsidR="007B5E07" w:rsidRPr="005A49D3" w:rsidRDefault="007B5E07" w:rsidP="00EA09AE">
      <w:pPr>
        <w:rPr>
          <w:b/>
          <w:szCs w:val="22"/>
        </w:rPr>
      </w:pPr>
    </w:p>
    <w:p w:rsidR="00AD5B9F" w:rsidRDefault="00AD5B9F" w:rsidP="00EA09AE">
      <w:pPr>
        <w:sectPr w:rsidR="00AD5B9F" w:rsidSect="009D6E9F">
          <w:pgSz w:w="11906" w:h="16838" w:code="9"/>
          <w:pgMar w:top="1440" w:right="1800" w:bottom="1440" w:left="1800" w:header="720" w:footer="720" w:gutter="0"/>
          <w:cols w:space="708"/>
          <w:docGrid w:linePitch="360"/>
        </w:sectPr>
      </w:pPr>
    </w:p>
    <w:p w:rsidR="00AD5B9F" w:rsidRPr="006C565A" w:rsidRDefault="006C565A" w:rsidP="006C565A">
      <w:pPr>
        <w:pStyle w:val="Caption"/>
        <w:bidi w:val="0"/>
        <w:rPr>
          <w:rFonts w:ascii="Garamond" w:eastAsiaTheme="minorHAnsi" w:hAnsi="Garamond" w:cstheme="minorBidi"/>
          <w:sz w:val="22"/>
          <w:szCs w:val="22"/>
          <w:lang w:val="en-GB"/>
        </w:rPr>
      </w:pPr>
      <w:bookmarkStart w:id="94" w:name="_Toc535750271"/>
      <w:r w:rsidRPr="006C565A">
        <w:rPr>
          <w:rFonts w:ascii="Garamond" w:hAnsi="Garamond"/>
          <w:sz w:val="22"/>
          <w:szCs w:val="22"/>
        </w:rPr>
        <w:lastRenderedPageBreak/>
        <w:t xml:space="preserve">Table </w:t>
      </w:r>
      <w:r w:rsidRPr="006C565A">
        <w:rPr>
          <w:rFonts w:ascii="Garamond" w:hAnsi="Garamond"/>
          <w:sz w:val="22"/>
          <w:szCs w:val="22"/>
        </w:rPr>
        <w:fldChar w:fldCharType="begin"/>
      </w:r>
      <w:r w:rsidRPr="006C565A">
        <w:rPr>
          <w:rFonts w:ascii="Garamond" w:hAnsi="Garamond"/>
          <w:sz w:val="22"/>
          <w:szCs w:val="22"/>
        </w:rPr>
        <w:instrText xml:space="preserve"> SEQ Table \* ARABIC </w:instrText>
      </w:r>
      <w:r w:rsidRPr="006C565A">
        <w:rPr>
          <w:rFonts w:ascii="Garamond" w:hAnsi="Garamond"/>
          <w:sz w:val="22"/>
          <w:szCs w:val="22"/>
        </w:rPr>
        <w:fldChar w:fldCharType="separate"/>
      </w:r>
      <w:r w:rsidR="00862183">
        <w:rPr>
          <w:rFonts w:ascii="Garamond" w:hAnsi="Garamond"/>
          <w:noProof/>
          <w:sz w:val="22"/>
          <w:szCs w:val="22"/>
        </w:rPr>
        <w:t>10</w:t>
      </w:r>
      <w:r w:rsidRPr="006C565A">
        <w:rPr>
          <w:rFonts w:ascii="Garamond" w:hAnsi="Garamond"/>
          <w:sz w:val="22"/>
          <w:szCs w:val="22"/>
        </w:rPr>
        <w:fldChar w:fldCharType="end"/>
      </w:r>
      <w:r>
        <w:rPr>
          <w:rFonts w:ascii="Garamond" w:hAnsi="Garamond"/>
          <w:sz w:val="22"/>
          <w:szCs w:val="22"/>
        </w:rPr>
        <w:t xml:space="preserve"> </w:t>
      </w:r>
      <w:r w:rsidRPr="006C565A">
        <w:rPr>
          <w:rFonts w:ascii="Garamond" w:hAnsi="Garamond"/>
          <w:sz w:val="22"/>
          <w:szCs w:val="22"/>
        </w:rPr>
        <w:t>Grants by Government Finance statistics (GFS)</w:t>
      </w:r>
      <w:bookmarkEnd w:id="94"/>
      <w:r w:rsidR="00AD5B9F">
        <w:rPr>
          <w:rFonts w:ascii="Garamond" w:hAnsi="Garamond"/>
          <w:sz w:val="22"/>
          <w:szCs w:val="22"/>
        </w:rPr>
        <w:fldChar w:fldCharType="begin"/>
      </w:r>
      <w:r w:rsidR="00AD5B9F" w:rsidRPr="006C565A">
        <w:rPr>
          <w:rFonts w:ascii="Garamond" w:hAnsi="Garamond"/>
          <w:sz w:val="22"/>
          <w:szCs w:val="22"/>
        </w:rPr>
        <w:instrText xml:space="preserve"> LINK Excel.Sheet.12 "C:\\Users\\ajmal.waziree\\Documents\\National budget\\N budget 2 version\\Final chartpack and budget files\\Final one\\English Tables.xlsx" "Grants-by GFS-T10!R2C1:R10C8" \a \f 4 \h </w:instrText>
      </w:r>
      <w:r w:rsidR="00E115BE" w:rsidRPr="006C565A">
        <w:rPr>
          <w:rFonts w:ascii="Garamond" w:hAnsi="Garamond"/>
          <w:sz w:val="22"/>
          <w:szCs w:val="22"/>
        </w:rPr>
        <w:instrText xml:space="preserve"> \* MERGEFORMAT </w:instrText>
      </w:r>
      <w:r w:rsidR="00AD5B9F">
        <w:rPr>
          <w:rFonts w:ascii="Garamond" w:hAnsi="Garamond"/>
          <w:sz w:val="22"/>
          <w:szCs w:val="22"/>
        </w:rPr>
        <w:fldChar w:fldCharType="separate"/>
      </w:r>
    </w:p>
    <w:tbl>
      <w:tblPr>
        <w:tblW w:w="13940" w:type="dxa"/>
        <w:tblLook w:val="04A0" w:firstRow="1" w:lastRow="0" w:firstColumn="1" w:lastColumn="0" w:noHBand="0" w:noVBand="1"/>
      </w:tblPr>
      <w:tblGrid>
        <w:gridCol w:w="3120"/>
        <w:gridCol w:w="1560"/>
        <w:gridCol w:w="1560"/>
        <w:gridCol w:w="1560"/>
        <w:gridCol w:w="1560"/>
        <w:gridCol w:w="1560"/>
        <w:gridCol w:w="1560"/>
        <w:gridCol w:w="1460"/>
      </w:tblGrid>
      <w:tr w:rsidR="00AD5B9F" w:rsidRPr="00E115BE" w:rsidTr="00AD5B9F">
        <w:trPr>
          <w:trHeight w:val="345"/>
        </w:trPr>
        <w:tc>
          <w:tcPr>
            <w:tcW w:w="3120" w:type="dxa"/>
            <w:tcBorders>
              <w:top w:val="single" w:sz="4" w:space="0" w:color="auto"/>
              <w:left w:val="single" w:sz="4" w:space="0" w:color="auto"/>
              <w:bottom w:val="nil"/>
              <w:right w:val="nil"/>
            </w:tcBorders>
            <w:shd w:val="clear" w:color="000000" w:fill="8DB4E2"/>
            <w:vAlign w:val="bottom"/>
            <w:hideMark/>
          </w:tcPr>
          <w:p w:rsidR="00AD5B9F" w:rsidRPr="00E115BE" w:rsidRDefault="00AD5B9F" w:rsidP="00AD5B9F">
            <w:pPr>
              <w:bidi/>
              <w:jc w:val="center"/>
              <w:rPr>
                <w:rFonts w:eastAsia="Times New Roman" w:cs="B Zar"/>
                <w:b/>
                <w:bCs/>
                <w:color w:val="000000"/>
                <w:sz w:val="18"/>
                <w:szCs w:val="18"/>
              </w:rPr>
            </w:pPr>
            <w:r w:rsidRPr="00E115BE">
              <w:rPr>
                <w:rFonts w:eastAsia="Times New Roman" w:cs="B Zar"/>
                <w:b/>
                <w:bCs/>
                <w:color w:val="000000"/>
                <w:sz w:val="18"/>
                <w:szCs w:val="18"/>
              </w:rPr>
              <w:t>Grants</w:t>
            </w:r>
          </w:p>
        </w:tc>
        <w:tc>
          <w:tcPr>
            <w:tcW w:w="1560" w:type="dxa"/>
            <w:tcBorders>
              <w:top w:val="single" w:sz="4" w:space="0" w:color="auto"/>
              <w:left w:val="nil"/>
              <w:bottom w:val="nil"/>
              <w:right w:val="nil"/>
            </w:tcBorders>
            <w:shd w:val="clear" w:color="000000" w:fill="8DB4E2"/>
            <w:vAlign w:val="bottom"/>
            <w:hideMark/>
          </w:tcPr>
          <w:p w:rsidR="00AD5B9F" w:rsidRPr="00E115BE" w:rsidRDefault="00AD5B9F" w:rsidP="00AD5B9F">
            <w:pPr>
              <w:jc w:val="center"/>
              <w:rPr>
                <w:rFonts w:eastAsia="Times New Roman" w:cs="Calibri"/>
                <w:b/>
                <w:bCs/>
                <w:color w:val="000000"/>
                <w:sz w:val="18"/>
                <w:szCs w:val="18"/>
                <w:rtl/>
              </w:rPr>
            </w:pPr>
            <w:r w:rsidRPr="00E115BE">
              <w:rPr>
                <w:rFonts w:eastAsia="Times New Roman" w:cs="Calibri"/>
                <w:b/>
                <w:bCs/>
                <w:color w:val="000000"/>
                <w:sz w:val="18"/>
                <w:szCs w:val="18"/>
              </w:rPr>
              <w:t>1396</w:t>
            </w:r>
          </w:p>
        </w:tc>
        <w:tc>
          <w:tcPr>
            <w:tcW w:w="1560" w:type="dxa"/>
            <w:tcBorders>
              <w:top w:val="single" w:sz="4" w:space="0" w:color="auto"/>
              <w:left w:val="nil"/>
              <w:bottom w:val="nil"/>
              <w:right w:val="nil"/>
            </w:tcBorders>
            <w:shd w:val="clear" w:color="000000" w:fill="8DB4E2"/>
            <w:vAlign w:val="bottom"/>
            <w:hideMark/>
          </w:tcPr>
          <w:p w:rsidR="00AD5B9F" w:rsidRPr="00E115BE" w:rsidRDefault="00AD5B9F" w:rsidP="00AD5B9F">
            <w:pPr>
              <w:jc w:val="center"/>
              <w:rPr>
                <w:rFonts w:eastAsia="Times New Roman" w:cs="Calibri"/>
                <w:b/>
                <w:bCs/>
                <w:color w:val="000000"/>
                <w:sz w:val="18"/>
                <w:szCs w:val="18"/>
              </w:rPr>
            </w:pPr>
            <w:r w:rsidRPr="00E115BE">
              <w:rPr>
                <w:rFonts w:eastAsia="Times New Roman" w:cs="Calibri"/>
                <w:b/>
                <w:bCs/>
                <w:color w:val="000000"/>
                <w:sz w:val="18"/>
                <w:szCs w:val="18"/>
              </w:rPr>
              <w:t>1397</w:t>
            </w:r>
          </w:p>
        </w:tc>
        <w:tc>
          <w:tcPr>
            <w:tcW w:w="1560" w:type="dxa"/>
            <w:tcBorders>
              <w:top w:val="single" w:sz="4" w:space="0" w:color="auto"/>
              <w:left w:val="nil"/>
              <w:bottom w:val="nil"/>
              <w:right w:val="nil"/>
            </w:tcBorders>
            <w:shd w:val="clear" w:color="000000" w:fill="8DB4E2"/>
            <w:vAlign w:val="bottom"/>
            <w:hideMark/>
          </w:tcPr>
          <w:p w:rsidR="00AD5B9F" w:rsidRPr="00E115BE" w:rsidRDefault="00AD5B9F" w:rsidP="00AD5B9F">
            <w:pPr>
              <w:jc w:val="center"/>
              <w:rPr>
                <w:rFonts w:eastAsia="Times New Roman" w:cs="Calibri"/>
                <w:b/>
                <w:bCs/>
                <w:color w:val="000000"/>
                <w:sz w:val="18"/>
                <w:szCs w:val="18"/>
              </w:rPr>
            </w:pPr>
            <w:r w:rsidRPr="00E115BE">
              <w:rPr>
                <w:rFonts w:eastAsia="Times New Roman" w:cs="Calibri"/>
                <w:b/>
                <w:bCs/>
                <w:color w:val="000000"/>
                <w:sz w:val="18"/>
                <w:szCs w:val="18"/>
              </w:rPr>
              <w:t>1397</w:t>
            </w:r>
          </w:p>
        </w:tc>
        <w:tc>
          <w:tcPr>
            <w:tcW w:w="1560" w:type="dxa"/>
            <w:tcBorders>
              <w:top w:val="single" w:sz="4" w:space="0" w:color="auto"/>
              <w:left w:val="nil"/>
              <w:bottom w:val="nil"/>
              <w:right w:val="nil"/>
            </w:tcBorders>
            <w:shd w:val="clear" w:color="000000" w:fill="8DB4E2"/>
            <w:vAlign w:val="bottom"/>
            <w:hideMark/>
          </w:tcPr>
          <w:p w:rsidR="00AD5B9F" w:rsidRPr="00E115BE" w:rsidRDefault="00AD5B9F" w:rsidP="00AD5B9F">
            <w:pPr>
              <w:jc w:val="center"/>
              <w:rPr>
                <w:rFonts w:eastAsia="Times New Roman" w:cs="Calibri"/>
                <w:b/>
                <w:bCs/>
                <w:color w:val="000000"/>
                <w:sz w:val="18"/>
                <w:szCs w:val="18"/>
              </w:rPr>
            </w:pPr>
            <w:r w:rsidRPr="00E115BE">
              <w:rPr>
                <w:rFonts w:eastAsia="Times New Roman" w:cs="Calibri"/>
                <w:b/>
                <w:bCs/>
                <w:color w:val="000000"/>
                <w:sz w:val="18"/>
                <w:szCs w:val="18"/>
              </w:rPr>
              <w:t>1398</w:t>
            </w:r>
          </w:p>
        </w:tc>
        <w:tc>
          <w:tcPr>
            <w:tcW w:w="1560" w:type="dxa"/>
            <w:tcBorders>
              <w:top w:val="single" w:sz="4" w:space="0" w:color="auto"/>
              <w:left w:val="nil"/>
              <w:bottom w:val="nil"/>
              <w:right w:val="nil"/>
            </w:tcBorders>
            <w:shd w:val="clear" w:color="000000" w:fill="8DB4E2"/>
            <w:vAlign w:val="bottom"/>
            <w:hideMark/>
          </w:tcPr>
          <w:p w:rsidR="00AD5B9F" w:rsidRPr="00E115BE" w:rsidRDefault="00AD5B9F" w:rsidP="00AD5B9F">
            <w:pPr>
              <w:jc w:val="center"/>
              <w:rPr>
                <w:rFonts w:eastAsia="Times New Roman" w:cs="Calibri"/>
                <w:b/>
                <w:bCs/>
                <w:color w:val="000000"/>
                <w:sz w:val="18"/>
                <w:szCs w:val="18"/>
              </w:rPr>
            </w:pPr>
            <w:r w:rsidRPr="00E115BE">
              <w:rPr>
                <w:rFonts w:eastAsia="Times New Roman" w:cs="Calibri"/>
                <w:b/>
                <w:bCs/>
                <w:color w:val="000000"/>
                <w:sz w:val="18"/>
                <w:szCs w:val="18"/>
              </w:rPr>
              <w:t>1399</w:t>
            </w:r>
          </w:p>
        </w:tc>
        <w:tc>
          <w:tcPr>
            <w:tcW w:w="1560" w:type="dxa"/>
            <w:tcBorders>
              <w:top w:val="single" w:sz="4" w:space="0" w:color="auto"/>
              <w:left w:val="nil"/>
              <w:bottom w:val="nil"/>
              <w:right w:val="nil"/>
            </w:tcBorders>
            <w:shd w:val="clear" w:color="000000" w:fill="8DB4E2"/>
            <w:vAlign w:val="bottom"/>
            <w:hideMark/>
          </w:tcPr>
          <w:p w:rsidR="00AD5B9F" w:rsidRPr="00E115BE" w:rsidRDefault="00AD5B9F" w:rsidP="00AD5B9F">
            <w:pPr>
              <w:jc w:val="center"/>
              <w:rPr>
                <w:rFonts w:eastAsia="Times New Roman" w:cs="Calibri"/>
                <w:b/>
                <w:bCs/>
                <w:color w:val="000000"/>
                <w:sz w:val="18"/>
                <w:szCs w:val="18"/>
              </w:rPr>
            </w:pPr>
            <w:r w:rsidRPr="00E115BE">
              <w:rPr>
                <w:rFonts w:eastAsia="Times New Roman" w:cs="Calibri"/>
                <w:b/>
                <w:bCs/>
                <w:color w:val="000000"/>
                <w:sz w:val="18"/>
                <w:szCs w:val="18"/>
              </w:rPr>
              <w:t>1400</w:t>
            </w:r>
          </w:p>
        </w:tc>
        <w:tc>
          <w:tcPr>
            <w:tcW w:w="1460" w:type="dxa"/>
            <w:tcBorders>
              <w:top w:val="single" w:sz="4" w:space="0" w:color="auto"/>
              <w:left w:val="nil"/>
              <w:bottom w:val="nil"/>
              <w:right w:val="single" w:sz="4" w:space="0" w:color="auto"/>
            </w:tcBorders>
            <w:shd w:val="clear" w:color="000000" w:fill="8DB4E2"/>
            <w:vAlign w:val="bottom"/>
            <w:hideMark/>
          </w:tcPr>
          <w:p w:rsidR="00AD5B9F" w:rsidRPr="00E115BE" w:rsidRDefault="00AD5B9F" w:rsidP="00AD5B9F">
            <w:pPr>
              <w:jc w:val="center"/>
              <w:rPr>
                <w:rFonts w:eastAsia="Times New Roman" w:cs="Calibri"/>
                <w:b/>
                <w:bCs/>
                <w:color w:val="000000"/>
                <w:sz w:val="18"/>
                <w:szCs w:val="18"/>
              </w:rPr>
            </w:pPr>
            <w:r w:rsidRPr="00E115BE">
              <w:rPr>
                <w:rFonts w:eastAsia="Times New Roman" w:cs="Calibri"/>
                <w:b/>
                <w:bCs/>
                <w:color w:val="000000"/>
                <w:sz w:val="18"/>
                <w:szCs w:val="18"/>
              </w:rPr>
              <w:t>1401</w:t>
            </w:r>
          </w:p>
        </w:tc>
      </w:tr>
      <w:tr w:rsidR="00AD5B9F" w:rsidRPr="00E115BE" w:rsidTr="00AD5B9F">
        <w:trPr>
          <w:trHeight w:val="420"/>
        </w:trPr>
        <w:tc>
          <w:tcPr>
            <w:tcW w:w="3120" w:type="dxa"/>
            <w:tcBorders>
              <w:top w:val="nil"/>
              <w:left w:val="single" w:sz="4" w:space="0" w:color="auto"/>
              <w:bottom w:val="nil"/>
              <w:right w:val="nil"/>
            </w:tcBorders>
            <w:shd w:val="clear" w:color="000000" w:fill="8DB4E2"/>
            <w:vAlign w:val="bottom"/>
            <w:hideMark/>
          </w:tcPr>
          <w:p w:rsidR="00AD5B9F" w:rsidRPr="00E115BE" w:rsidRDefault="00AD5B9F" w:rsidP="00AD5B9F">
            <w:pPr>
              <w:bidi/>
              <w:jc w:val="center"/>
              <w:rPr>
                <w:rFonts w:eastAsia="Times New Roman" w:cs="B Zar"/>
                <w:b/>
                <w:bCs/>
                <w:color w:val="000000"/>
                <w:sz w:val="18"/>
                <w:szCs w:val="18"/>
              </w:rPr>
            </w:pPr>
            <w:r w:rsidRPr="00E115BE">
              <w:rPr>
                <w:rFonts w:eastAsia="Times New Roman" w:cs="Cambria"/>
                <w:b/>
                <w:bCs/>
                <w:color w:val="000000"/>
                <w:sz w:val="18"/>
                <w:szCs w:val="18"/>
                <w:rtl/>
              </w:rPr>
              <w:t> </w:t>
            </w:r>
          </w:p>
        </w:tc>
        <w:tc>
          <w:tcPr>
            <w:tcW w:w="1560" w:type="dxa"/>
            <w:tcBorders>
              <w:top w:val="nil"/>
              <w:left w:val="nil"/>
              <w:bottom w:val="nil"/>
              <w:right w:val="nil"/>
            </w:tcBorders>
            <w:shd w:val="clear" w:color="000000" w:fill="8DB4E2"/>
            <w:vAlign w:val="bottom"/>
            <w:hideMark/>
          </w:tcPr>
          <w:p w:rsidR="00AD5B9F" w:rsidRPr="00E115BE" w:rsidRDefault="00AD5B9F" w:rsidP="00AD5B9F">
            <w:pPr>
              <w:jc w:val="center"/>
              <w:rPr>
                <w:rFonts w:eastAsia="Times New Roman" w:cs="B Zar"/>
                <w:b/>
                <w:bCs/>
                <w:color w:val="000000"/>
                <w:sz w:val="18"/>
                <w:szCs w:val="18"/>
                <w:rtl/>
              </w:rPr>
            </w:pPr>
            <w:r w:rsidRPr="00E115BE">
              <w:rPr>
                <w:rFonts w:eastAsia="Times New Roman" w:cs="B Zar"/>
                <w:b/>
                <w:bCs/>
                <w:color w:val="000000"/>
                <w:sz w:val="18"/>
                <w:szCs w:val="18"/>
              </w:rPr>
              <w:t xml:space="preserve">Expenditure </w:t>
            </w:r>
          </w:p>
        </w:tc>
        <w:tc>
          <w:tcPr>
            <w:tcW w:w="1560" w:type="dxa"/>
            <w:tcBorders>
              <w:top w:val="nil"/>
              <w:left w:val="nil"/>
              <w:bottom w:val="nil"/>
              <w:right w:val="nil"/>
            </w:tcBorders>
            <w:shd w:val="clear" w:color="000000" w:fill="8DB4E2"/>
            <w:vAlign w:val="bottom"/>
            <w:hideMark/>
          </w:tcPr>
          <w:p w:rsidR="00AD5B9F" w:rsidRPr="00E115BE" w:rsidRDefault="00AD5B9F" w:rsidP="00AD5B9F">
            <w:pPr>
              <w:jc w:val="center"/>
              <w:rPr>
                <w:rFonts w:eastAsia="Times New Roman" w:cs="B Zar"/>
                <w:b/>
                <w:bCs/>
                <w:color w:val="000000"/>
                <w:sz w:val="18"/>
                <w:szCs w:val="18"/>
              </w:rPr>
            </w:pPr>
            <w:r w:rsidRPr="00E115BE">
              <w:rPr>
                <w:rFonts w:eastAsia="Times New Roman" w:cs="B Zar"/>
                <w:b/>
                <w:bCs/>
                <w:color w:val="000000"/>
                <w:sz w:val="18"/>
                <w:szCs w:val="18"/>
              </w:rPr>
              <w:t xml:space="preserve">Budget </w:t>
            </w:r>
          </w:p>
        </w:tc>
        <w:tc>
          <w:tcPr>
            <w:tcW w:w="1560" w:type="dxa"/>
            <w:tcBorders>
              <w:top w:val="nil"/>
              <w:left w:val="nil"/>
              <w:bottom w:val="nil"/>
              <w:right w:val="nil"/>
            </w:tcBorders>
            <w:shd w:val="clear" w:color="000000" w:fill="8DB4E2"/>
            <w:vAlign w:val="bottom"/>
            <w:hideMark/>
          </w:tcPr>
          <w:p w:rsidR="00AD5B9F" w:rsidRPr="00E115BE" w:rsidRDefault="00AD5B9F" w:rsidP="00AD5B9F">
            <w:pPr>
              <w:jc w:val="center"/>
              <w:rPr>
                <w:rFonts w:eastAsia="Times New Roman" w:cs="B Zar"/>
                <w:b/>
                <w:bCs/>
                <w:color w:val="000000"/>
                <w:sz w:val="18"/>
                <w:szCs w:val="18"/>
              </w:rPr>
            </w:pPr>
            <w:r w:rsidRPr="00E115BE">
              <w:rPr>
                <w:rFonts w:eastAsia="Times New Roman" w:cs="B Zar"/>
                <w:b/>
                <w:bCs/>
                <w:color w:val="000000"/>
                <w:sz w:val="18"/>
                <w:szCs w:val="18"/>
              </w:rPr>
              <w:t xml:space="preserve">Actual to date </w:t>
            </w:r>
          </w:p>
        </w:tc>
        <w:tc>
          <w:tcPr>
            <w:tcW w:w="1560" w:type="dxa"/>
            <w:tcBorders>
              <w:top w:val="nil"/>
              <w:left w:val="nil"/>
              <w:bottom w:val="nil"/>
              <w:right w:val="nil"/>
            </w:tcBorders>
            <w:shd w:val="clear" w:color="000000" w:fill="8DB4E2"/>
            <w:vAlign w:val="bottom"/>
            <w:hideMark/>
          </w:tcPr>
          <w:p w:rsidR="00AD5B9F" w:rsidRPr="00E115BE" w:rsidRDefault="00AD5B9F" w:rsidP="00AD5B9F">
            <w:pPr>
              <w:jc w:val="center"/>
              <w:rPr>
                <w:rFonts w:eastAsia="Times New Roman" w:cs="B Zar"/>
                <w:b/>
                <w:bCs/>
                <w:color w:val="000000"/>
                <w:sz w:val="18"/>
                <w:szCs w:val="18"/>
              </w:rPr>
            </w:pPr>
            <w:r w:rsidRPr="00E115BE">
              <w:rPr>
                <w:rFonts w:eastAsia="Times New Roman" w:cs="B Zar"/>
                <w:b/>
                <w:bCs/>
                <w:color w:val="000000"/>
                <w:sz w:val="18"/>
                <w:szCs w:val="18"/>
              </w:rPr>
              <w:t xml:space="preserve">Budget Year </w:t>
            </w:r>
          </w:p>
        </w:tc>
        <w:tc>
          <w:tcPr>
            <w:tcW w:w="1560" w:type="dxa"/>
            <w:tcBorders>
              <w:top w:val="nil"/>
              <w:left w:val="nil"/>
              <w:bottom w:val="nil"/>
              <w:right w:val="nil"/>
            </w:tcBorders>
            <w:shd w:val="clear" w:color="000000" w:fill="8DB4E2"/>
            <w:vAlign w:val="bottom"/>
            <w:hideMark/>
          </w:tcPr>
          <w:p w:rsidR="00AD5B9F" w:rsidRPr="00E115BE" w:rsidRDefault="00AD5B9F" w:rsidP="00AD5B9F">
            <w:pPr>
              <w:jc w:val="center"/>
              <w:rPr>
                <w:rFonts w:eastAsia="Times New Roman" w:cs="B Zar"/>
                <w:b/>
                <w:bCs/>
                <w:color w:val="000000"/>
                <w:sz w:val="18"/>
                <w:szCs w:val="18"/>
              </w:rPr>
            </w:pPr>
            <w:r w:rsidRPr="00E115BE">
              <w:rPr>
                <w:rFonts w:eastAsia="Times New Roman" w:cs="B Zar"/>
                <w:b/>
                <w:bCs/>
                <w:color w:val="000000"/>
                <w:sz w:val="18"/>
                <w:szCs w:val="18"/>
              </w:rPr>
              <w:t xml:space="preserve">Forecast </w:t>
            </w:r>
          </w:p>
        </w:tc>
        <w:tc>
          <w:tcPr>
            <w:tcW w:w="1560" w:type="dxa"/>
            <w:tcBorders>
              <w:top w:val="nil"/>
              <w:left w:val="nil"/>
              <w:bottom w:val="nil"/>
              <w:right w:val="nil"/>
            </w:tcBorders>
            <w:shd w:val="clear" w:color="000000" w:fill="8DB4E2"/>
            <w:vAlign w:val="bottom"/>
            <w:hideMark/>
          </w:tcPr>
          <w:p w:rsidR="00AD5B9F" w:rsidRPr="00E115BE" w:rsidRDefault="00AD5B9F" w:rsidP="00AD5B9F">
            <w:pPr>
              <w:jc w:val="center"/>
              <w:rPr>
                <w:rFonts w:eastAsia="Times New Roman" w:cs="B Zar"/>
                <w:b/>
                <w:bCs/>
                <w:color w:val="000000"/>
                <w:sz w:val="18"/>
                <w:szCs w:val="18"/>
              </w:rPr>
            </w:pPr>
            <w:r w:rsidRPr="00E115BE">
              <w:rPr>
                <w:rFonts w:eastAsia="Times New Roman" w:cs="B Zar"/>
                <w:b/>
                <w:bCs/>
                <w:color w:val="000000"/>
                <w:sz w:val="18"/>
                <w:szCs w:val="18"/>
              </w:rPr>
              <w:t xml:space="preserve">Forecast </w:t>
            </w:r>
          </w:p>
        </w:tc>
        <w:tc>
          <w:tcPr>
            <w:tcW w:w="1460" w:type="dxa"/>
            <w:tcBorders>
              <w:top w:val="nil"/>
              <w:left w:val="nil"/>
              <w:bottom w:val="nil"/>
              <w:right w:val="single" w:sz="4" w:space="0" w:color="auto"/>
            </w:tcBorders>
            <w:shd w:val="clear" w:color="000000" w:fill="8DB4E2"/>
            <w:vAlign w:val="bottom"/>
            <w:hideMark/>
          </w:tcPr>
          <w:p w:rsidR="00AD5B9F" w:rsidRPr="00E115BE" w:rsidRDefault="00AD5B9F" w:rsidP="00AD5B9F">
            <w:pPr>
              <w:jc w:val="center"/>
              <w:rPr>
                <w:rFonts w:eastAsia="Times New Roman" w:cs="B Zar"/>
                <w:b/>
                <w:bCs/>
                <w:color w:val="000000"/>
                <w:sz w:val="18"/>
                <w:szCs w:val="18"/>
              </w:rPr>
            </w:pPr>
            <w:r w:rsidRPr="00E115BE">
              <w:rPr>
                <w:rFonts w:eastAsia="Times New Roman" w:cs="B Zar"/>
                <w:b/>
                <w:bCs/>
                <w:color w:val="000000"/>
                <w:sz w:val="18"/>
                <w:szCs w:val="18"/>
              </w:rPr>
              <w:t xml:space="preserve">Forecast </w:t>
            </w:r>
          </w:p>
        </w:tc>
      </w:tr>
      <w:tr w:rsidR="00AD5B9F" w:rsidRPr="00E115BE" w:rsidTr="00AD5B9F">
        <w:trPr>
          <w:trHeight w:val="420"/>
        </w:trPr>
        <w:tc>
          <w:tcPr>
            <w:tcW w:w="3120" w:type="dxa"/>
            <w:tcBorders>
              <w:top w:val="nil"/>
              <w:left w:val="single" w:sz="4" w:space="0" w:color="auto"/>
              <w:bottom w:val="nil"/>
              <w:right w:val="nil"/>
            </w:tcBorders>
            <w:shd w:val="clear" w:color="auto" w:fill="auto"/>
            <w:hideMark/>
          </w:tcPr>
          <w:p w:rsidR="00AD5B9F" w:rsidRPr="00E115BE" w:rsidRDefault="00AD5B9F" w:rsidP="00AD5B9F">
            <w:pPr>
              <w:bidi/>
              <w:jc w:val="right"/>
              <w:rPr>
                <w:rFonts w:eastAsia="Times New Roman" w:cs="B Zar"/>
                <w:b/>
                <w:bCs/>
                <w:sz w:val="18"/>
                <w:szCs w:val="18"/>
              </w:rPr>
            </w:pPr>
            <w:r w:rsidRPr="00E115BE">
              <w:rPr>
                <w:rFonts w:eastAsia="Times New Roman" w:cs="B Zar"/>
                <w:b/>
                <w:bCs/>
                <w:sz w:val="18"/>
                <w:szCs w:val="18"/>
              </w:rPr>
              <w:t>Total</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sz w:val="18"/>
                <w:szCs w:val="18"/>
                <w:rtl/>
              </w:rPr>
            </w:pPr>
            <w:r w:rsidRPr="00E115BE">
              <w:rPr>
                <w:rFonts w:eastAsia="Times New Roman" w:cs="Calibri"/>
                <w:sz w:val="18"/>
                <w:szCs w:val="18"/>
              </w:rPr>
              <w:t>185,938,382,080</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sz w:val="18"/>
                <w:szCs w:val="18"/>
              </w:rPr>
            </w:pPr>
            <w:r w:rsidRPr="00E115BE">
              <w:rPr>
                <w:rFonts w:eastAsia="Times New Roman" w:cs="Calibri"/>
                <w:sz w:val="18"/>
                <w:szCs w:val="18"/>
              </w:rPr>
              <w:t>190,372,711,688</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sz w:val="18"/>
                <w:szCs w:val="18"/>
              </w:rPr>
            </w:pPr>
            <w:r w:rsidRPr="00E115BE">
              <w:rPr>
                <w:rFonts w:eastAsia="Times New Roman" w:cs="Calibri"/>
                <w:sz w:val="18"/>
                <w:szCs w:val="18"/>
              </w:rPr>
              <w:t>105,595,126,218</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sz w:val="18"/>
                <w:szCs w:val="18"/>
              </w:rPr>
            </w:pPr>
            <w:r w:rsidRPr="00E115BE">
              <w:rPr>
                <w:rFonts w:eastAsia="Times New Roman" w:cs="Calibri"/>
                <w:sz w:val="18"/>
                <w:szCs w:val="18"/>
              </w:rPr>
              <w:t>198,441,897,365</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sz w:val="18"/>
                <w:szCs w:val="18"/>
              </w:rPr>
            </w:pPr>
            <w:r w:rsidRPr="00E115BE">
              <w:rPr>
                <w:rFonts w:eastAsia="Times New Roman" w:cs="Calibri"/>
                <w:sz w:val="18"/>
                <w:szCs w:val="18"/>
              </w:rPr>
              <w:t>173,553,871,296</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sz w:val="18"/>
                <w:szCs w:val="18"/>
              </w:rPr>
            </w:pPr>
            <w:r w:rsidRPr="00E115BE">
              <w:rPr>
                <w:rFonts w:eastAsia="Times New Roman" w:cs="Calibri"/>
                <w:sz w:val="18"/>
                <w:szCs w:val="18"/>
              </w:rPr>
              <w:t>134,410,037,291</w:t>
            </w:r>
          </w:p>
        </w:tc>
        <w:tc>
          <w:tcPr>
            <w:tcW w:w="1460" w:type="dxa"/>
            <w:tcBorders>
              <w:top w:val="nil"/>
              <w:left w:val="nil"/>
              <w:bottom w:val="nil"/>
              <w:right w:val="single" w:sz="4" w:space="0" w:color="auto"/>
            </w:tcBorders>
            <w:shd w:val="clear" w:color="auto" w:fill="auto"/>
            <w:hideMark/>
          </w:tcPr>
          <w:p w:rsidR="00AD5B9F" w:rsidRPr="00E115BE" w:rsidRDefault="00AD5B9F" w:rsidP="00AD5B9F">
            <w:pPr>
              <w:rPr>
                <w:rFonts w:eastAsia="Times New Roman" w:cs="Calibri"/>
                <w:sz w:val="18"/>
                <w:szCs w:val="18"/>
              </w:rPr>
            </w:pPr>
            <w:r w:rsidRPr="00E115BE">
              <w:rPr>
                <w:rFonts w:eastAsia="Times New Roman" w:cs="Calibri"/>
                <w:sz w:val="18"/>
                <w:szCs w:val="18"/>
              </w:rPr>
              <w:t>94,448,431,374</w:t>
            </w:r>
          </w:p>
        </w:tc>
      </w:tr>
      <w:tr w:rsidR="00AD5B9F" w:rsidRPr="00E115BE" w:rsidTr="00AD5B9F">
        <w:trPr>
          <w:trHeight w:val="420"/>
        </w:trPr>
        <w:tc>
          <w:tcPr>
            <w:tcW w:w="3120" w:type="dxa"/>
            <w:tcBorders>
              <w:top w:val="nil"/>
              <w:left w:val="single" w:sz="4" w:space="0" w:color="auto"/>
              <w:bottom w:val="nil"/>
              <w:right w:val="nil"/>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 xml:space="preserve">1 Foreign Government's Assistance  </w:t>
            </w:r>
          </w:p>
        </w:tc>
        <w:tc>
          <w:tcPr>
            <w:tcW w:w="1560" w:type="dxa"/>
            <w:tcBorders>
              <w:top w:val="nil"/>
              <w:left w:val="nil"/>
              <w:bottom w:val="nil"/>
              <w:right w:val="nil"/>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56,435,417,044</w:t>
            </w:r>
          </w:p>
        </w:tc>
        <w:tc>
          <w:tcPr>
            <w:tcW w:w="1560" w:type="dxa"/>
            <w:tcBorders>
              <w:top w:val="nil"/>
              <w:left w:val="nil"/>
              <w:bottom w:val="nil"/>
              <w:right w:val="nil"/>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68,580,433,220</w:t>
            </w:r>
          </w:p>
        </w:tc>
        <w:tc>
          <w:tcPr>
            <w:tcW w:w="1560" w:type="dxa"/>
            <w:tcBorders>
              <w:top w:val="nil"/>
              <w:left w:val="nil"/>
              <w:bottom w:val="nil"/>
              <w:right w:val="nil"/>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42,908,289,302</w:t>
            </w:r>
          </w:p>
        </w:tc>
        <w:tc>
          <w:tcPr>
            <w:tcW w:w="1560" w:type="dxa"/>
            <w:tcBorders>
              <w:top w:val="nil"/>
              <w:left w:val="nil"/>
              <w:bottom w:val="nil"/>
              <w:right w:val="nil"/>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74,452,947,235</w:t>
            </w:r>
          </w:p>
        </w:tc>
        <w:tc>
          <w:tcPr>
            <w:tcW w:w="1560" w:type="dxa"/>
            <w:tcBorders>
              <w:top w:val="nil"/>
              <w:left w:val="nil"/>
              <w:bottom w:val="nil"/>
              <w:right w:val="nil"/>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59,768,726,845</w:t>
            </w:r>
          </w:p>
        </w:tc>
        <w:tc>
          <w:tcPr>
            <w:tcW w:w="1560" w:type="dxa"/>
            <w:tcBorders>
              <w:top w:val="nil"/>
              <w:left w:val="nil"/>
              <w:bottom w:val="nil"/>
              <w:right w:val="nil"/>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34,171,253,997</w:t>
            </w:r>
          </w:p>
        </w:tc>
        <w:tc>
          <w:tcPr>
            <w:tcW w:w="1460" w:type="dxa"/>
            <w:tcBorders>
              <w:top w:val="nil"/>
              <w:left w:val="nil"/>
              <w:bottom w:val="nil"/>
              <w:right w:val="single" w:sz="4" w:space="0" w:color="auto"/>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33,737,760,072</w:t>
            </w:r>
          </w:p>
        </w:tc>
      </w:tr>
      <w:tr w:rsidR="00AD5B9F" w:rsidRPr="00E115BE" w:rsidTr="00AD5B9F">
        <w:trPr>
          <w:trHeight w:val="525"/>
        </w:trPr>
        <w:tc>
          <w:tcPr>
            <w:tcW w:w="3120" w:type="dxa"/>
            <w:tcBorders>
              <w:top w:val="nil"/>
              <w:left w:val="single" w:sz="4" w:space="0" w:color="auto"/>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 xml:space="preserve">    0 19100 Foreign Governments’ Ordinary assistance </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53,331,710,657</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62,866,015,886</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39,141,143,905</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70,819,363,664</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56,579,414,567</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31,434,007,305</w:t>
            </w:r>
          </w:p>
        </w:tc>
        <w:tc>
          <w:tcPr>
            <w:tcW w:w="1460" w:type="dxa"/>
            <w:tcBorders>
              <w:top w:val="nil"/>
              <w:left w:val="nil"/>
              <w:bottom w:val="nil"/>
              <w:right w:val="single" w:sz="4" w:space="0" w:color="auto"/>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31,434,007,305</w:t>
            </w:r>
          </w:p>
        </w:tc>
      </w:tr>
      <w:tr w:rsidR="00AD5B9F" w:rsidRPr="00E115BE" w:rsidTr="00AD5B9F">
        <w:trPr>
          <w:trHeight w:val="585"/>
        </w:trPr>
        <w:tc>
          <w:tcPr>
            <w:tcW w:w="3120" w:type="dxa"/>
            <w:tcBorders>
              <w:top w:val="nil"/>
              <w:left w:val="single" w:sz="4" w:space="0" w:color="auto"/>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 xml:space="preserve">    0 19101 Foreign Governments’ Investment Assistance </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3,103,706,387</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5,714,417,334</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3,767,145,397</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3,633,583,571</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3,189,312,278</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2,737,246,692</w:t>
            </w:r>
          </w:p>
        </w:tc>
        <w:tc>
          <w:tcPr>
            <w:tcW w:w="1460" w:type="dxa"/>
            <w:tcBorders>
              <w:top w:val="nil"/>
              <w:left w:val="nil"/>
              <w:bottom w:val="nil"/>
              <w:right w:val="single" w:sz="4" w:space="0" w:color="auto"/>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2,303,752,767</w:t>
            </w:r>
          </w:p>
        </w:tc>
      </w:tr>
      <w:tr w:rsidR="00AD5B9F" w:rsidRPr="00E115BE" w:rsidTr="00AD5B9F">
        <w:trPr>
          <w:trHeight w:val="540"/>
        </w:trPr>
        <w:tc>
          <w:tcPr>
            <w:tcW w:w="3120" w:type="dxa"/>
            <w:tcBorders>
              <w:top w:val="nil"/>
              <w:left w:val="single" w:sz="4" w:space="0" w:color="auto"/>
              <w:bottom w:val="nil"/>
              <w:right w:val="nil"/>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 xml:space="preserve">2 Assistance from international Organization   </w:t>
            </w:r>
          </w:p>
        </w:tc>
        <w:tc>
          <w:tcPr>
            <w:tcW w:w="1560" w:type="dxa"/>
            <w:tcBorders>
              <w:top w:val="nil"/>
              <w:left w:val="nil"/>
              <w:bottom w:val="nil"/>
              <w:right w:val="nil"/>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129,502,965,036</w:t>
            </w:r>
          </w:p>
        </w:tc>
        <w:tc>
          <w:tcPr>
            <w:tcW w:w="1560" w:type="dxa"/>
            <w:tcBorders>
              <w:top w:val="nil"/>
              <w:left w:val="nil"/>
              <w:bottom w:val="nil"/>
              <w:right w:val="nil"/>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121,792,278,468</w:t>
            </w:r>
          </w:p>
        </w:tc>
        <w:tc>
          <w:tcPr>
            <w:tcW w:w="1560" w:type="dxa"/>
            <w:tcBorders>
              <w:top w:val="nil"/>
              <w:left w:val="nil"/>
              <w:bottom w:val="nil"/>
              <w:right w:val="nil"/>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62,686,836,916</w:t>
            </w:r>
          </w:p>
        </w:tc>
        <w:tc>
          <w:tcPr>
            <w:tcW w:w="1560" w:type="dxa"/>
            <w:tcBorders>
              <w:top w:val="nil"/>
              <w:left w:val="nil"/>
              <w:bottom w:val="nil"/>
              <w:right w:val="nil"/>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123,988,950,130</w:t>
            </w:r>
          </w:p>
        </w:tc>
        <w:tc>
          <w:tcPr>
            <w:tcW w:w="1560" w:type="dxa"/>
            <w:tcBorders>
              <w:top w:val="nil"/>
              <w:left w:val="nil"/>
              <w:bottom w:val="nil"/>
              <w:right w:val="nil"/>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113,785,144,451</w:t>
            </w:r>
          </w:p>
        </w:tc>
        <w:tc>
          <w:tcPr>
            <w:tcW w:w="1560" w:type="dxa"/>
            <w:tcBorders>
              <w:top w:val="nil"/>
              <w:left w:val="nil"/>
              <w:bottom w:val="nil"/>
              <w:right w:val="nil"/>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100,238,783,294</w:t>
            </w:r>
          </w:p>
        </w:tc>
        <w:tc>
          <w:tcPr>
            <w:tcW w:w="1460" w:type="dxa"/>
            <w:tcBorders>
              <w:top w:val="nil"/>
              <w:left w:val="nil"/>
              <w:bottom w:val="nil"/>
              <w:right w:val="single" w:sz="4" w:space="0" w:color="auto"/>
            </w:tcBorders>
            <w:shd w:val="clear" w:color="000000" w:fill="C6D9F8"/>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60,710,671,302</w:t>
            </w:r>
          </w:p>
        </w:tc>
      </w:tr>
      <w:tr w:rsidR="00AD5B9F" w:rsidRPr="00E115BE" w:rsidTr="00AD5B9F">
        <w:trPr>
          <w:trHeight w:val="510"/>
        </w:trPr>
        <w:tc>
          <w:tcPr>
            <w:tcW w:w="3120" w:type="dxa"/>
            <w:tcBorders>
              <w:top w:val="nil"/>
              <w:left w:val="single" w:sz="4" w:space="0" w:color="auto"/>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 xml:space="preserve">    0 19200 Current assistance of international organizations </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35,512,981,877</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69,444,185,306</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19,271,152,784</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28,024,500,000</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25,484,130,000</w:t>
            </w:r>
          </w:p>
        </w:tc>
        <w:tc>
          <w:tcPr>
            <w:tcW w:w="1560" w:type="dxa"/>
            <w:tcBorders>
              <w:top w:val="nil"/>
              <w:left w:val="nil"/>
              <w:bottom w:val="nil"/>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14,157,850,000</w:t>
            </w:r>
          </w:p>
        </w:tc>
        <w:tc>
          <w:tcPr>
            <w:tcW w:w="1460" w:type="dxa"/>
            <w:tcBorders>
              <w:top w:val="nil"/>
              <w:left w:val="nil"/>
              <w:bottom w:val="nil"/>
              <w:right w:val="single" w:sz="4" w:space="0" w:color="auto"/>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14,157,850,000</w:t>
            </w:r>
          </w:p>
        </w:tc>
      </w:tr>
      <w:tr w:rsidR="00AD5B9F" w:rsidRPr="00E115BE" w:rsidTr="00AD5B9F">
        <w:trPr>
          <w:trHeight w:val="480"/>
        </w:trPr>
        <w:tc>
          <w:tcPr>
            <w:tcW w:w="3120" w:type="dxa"/>
            <w:tcBorders>
              <w:top w:val="nil"/>
              <w:left w:val="single" w:sz="4" w:space="0" w:color="auto"/>
              <w:bottom w:val="single" w:sz="4" w:space="0" w:color="auto"/>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    0 19201 International Assistance - Immovable</w:t>
            </w:r>
          </w:p>
        </w:tc>
        <w:tc>
          <w:tcPr>
            <w:tcW w:w="1560" w:type="dxa"/>
            <w:tcBorders>
              <w:top w:val="nil"/>
              <w:left w:val="nil"/>
              <w:bottom w:val="single" w:sz="4" w:space="0" w:color="auto"/>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93,989,983,159</w:t>
            </w:r>
          </w:p>
        </w:tc>
        <w:tc>
          <w:tcPr>
            <w:tcW w:w="1560" w:type="dxa"/>
            <w:tcBorders>
              <w:top w:val="nil"/>
              <w:left w:val="nil"/>
              <w:bottom w:val="single" w:sz="4" w:space="0" w:color="auto"/>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52,348,093,162</w:t>
            </w:r>
          </w:p>
        </w:tc>
        <w:tc>
          <w:tcPr>
            <w:tcW w:w="1560" w:type="dxa"/>
            <w:tcBorders>
              <w:top w:val="nil"/>
              <w:left w:val="nil"/>
              <w:bottom w:val="single" w:sz="4" w:space="0" w:color="auto"/>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43,415,684,132</w:t>
            </w:r>
          </w:p>
        </w:tc>
        <w:tc>
          <w:tcPr>
            <w:tcW w:w="1560" w:type="dxa"/>
            <w:tcBorders>
              <w:top w:val="nil"/>
              <w:left w:val="nil"/>
              <w:bottom w:val="single" w:sz="4" w:space="0" w:color="auto"/>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95,964,450,130</w:t>
            </w:r>
          </w:p>
        </w:tc>
        <w:tc>
          <w:tcPr>
            <w:tcW w:w="1560" w:type="dxa"/>
            <w:tcBorders>
              <w:top w:val="nil"/>
              <w:left w:val="nil"/>
              <w:bottom w:val="single" w:sz="4" w:space="0" w:color="auto"/>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88,301,014,451</w:t>
            </w:r>
          </w:p>
        </w:tc>
        <w:tc>
          <w:tcPr>
            <w:tcW w:w="1560" w:type="dxa"/>
            <w:tcBorders>
              <w:top w:val="nil"/>
              <w:left w:val="nil"/>
              <w:bottom w:val="single" w:sz="4" w:space="0" w:color="auto"/>
              <w:right w:val="nil"/>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86,080,933,294</w:t>
            </w:r>
          </w:p>
        </w:tc>
        <w:tc>
          <w:tcPr>
            <w:tcW w:w="1460" w:type="dxa"/>
            <w:tcBorders>
              <w:top w:val="nil"/>
              <w:left w:val="nil"/>
              <w:bottom w:val="single" w:sz="4" w:space="0" w:color="auto"/>
              <w:right w:val="single" w:sz="4" w:space="0" w:color="auto"/>
            </w:tcBorders>
            <w:shd w:val="clear" w:color="auto" w:fill="auto"/>
            <w:hideMark/>
          </w:tcPr>
          <w:p w:rsidR="00AD5B9F" w:rsidRPr="00E115BE" w:rsidRDefault="00AD5B9F" w:rsidP="00AD5B9F">
            <w:pPr>
              <w:rPr>
                <w:rFonts w:eastAsia="Times New Roman" w:cs="Calibri"/>
                <w:color w:val="000000"/>
                <w:sz w:val="18"/>
                <w:szCs w:val="18"/>
              </w:rPr>
            </w:pPr>
            <w:r w:rsidRPr="00E115BE">
              <w:rPr>
                <w:rFonts w:eastAsia="Times New Roman" w:cs="Calibri"/>
                <w:color w:val="000000"/>
                <w:sz w:val="18"/>
                <w:szCs w:val="18"/>
              </w:rPr>
              <w:t>46,552,821,302</w:t>
            </w:r>
          </w:p>
        </w:tc>
      </w:tr>
    </w:tbl>
    <w:p w:rsidR="007B5E07" w:rsidRPr="005A49D3" w:rsidRDefault="00AD5B9F" w:rsidP="00EA09AE">
      <w:pPr>
        <w:rPr>
          <w:b/>
          <w:szCs w:val="22"/>
        </w:rPr>
      </w:pPr>
      <w:r>
        <w:rPr>
          <w:b/>
          <w:szCs w:val="22"/>
        </w:rPr>
        <w:fldChar w:fldCharType="end"/>
      </w:r>
    </w:p>
    <w:p w:rsidR="007B5E07" w:rsidRPr="005A49D3" w:rsidRDefault="007B5E07" w:rsidP="00EA09AE">
      <w:pPr>
        <w:rPr>
          <w:b/>
          <w:szCs w:val="22"/>
        </w:rPr>
      </w:pPr>
    </w:p>
    <w:p w:rsidR="007B5E07" w:rsidRPr="005A49D3" w:rsidRDefault="007B5E07" w:rsidP="00EA09AE">
      <w:pPr>
        <w:rPr>
          <w:b/>
          <w:szCs w:val="22"/>
        </w:rPr>
      </w:pPr>
    </w:p>
    <w:p w:rsidR="007B5E07" w:rsidRPr="005A49D3" w:rsidRDefault="007B5E07" w:rsidP="00EA09AE">
      <w:pPr>
        <w:rPr>
          <w:b/>
          <w:szCs w:val="22"/>
        </w:rPr>
      </w:pPr>
    </w:p>
    <w:p w:rsidR="007B5E07" w:rsidRPr="005A49D3" w:rsidRDefault="007B5E07" w:rsidP="00EA09AE">
      <w:pPr>
        <w:rPr>
          <w:b/>
          <w:szCs w:val="22"/>
        </w:rPr>
      </w:pPr>
    </w:p>
    <w:p w:rsidR="007B5E07" w:rsidRPr="005A49D3" w:rsidRDefault="007B5E07" w:rsidP="00EA09AE">
      <w:pPr>
        <w:rPr>
          <w:b/>
          <w:szCs w:val="22"/>
        </w:rPr>
      </w:pPr>
    </w:p>
    <w:p w:rsidR="007B5E07" w:rsidRPr="005A49D3" w:rsidRDefault="007B5E07" w:rsidP="00EA09AE">
      <w:pPr>
        <w:rPr>
          <w:b/>
          <w:szCs w:val="22"/>
        </w:rPr>
      </w:pPr>
    </w:p>
    <w:p w:rsidR="007B5E07" w:rsidRPr="005A49D3" w:rsidRDefault="007B5E07" w:rsidP="00EA09AE">
      <w:pPr>
        <w:rPr>
          <w:b/>
          <w:szCs w:val="22"/>
        </w:rPr>
      </w:pPr>
    </w:p>
    <w:p w:rsidR="007B5E07" w:rsidRPr="005A49D3" w:rsidRDefault="007B5E07" w:rsidP="00EA09AE">
      <w:pPr>
        <w:rPr>
          <w:b/>
          <w:szCs w:val="22"/>
        </w:rPr>
      </w:pPr>
    </w:p>
    <w:p w:rsidR="00692E65" w:rsidRPr="005A49D3" w:rsidRDefault="00692E65" w:rsidP="00EA09AE">
      <w:pPr>
        <w:rPr>
          <w:b/>
          <w:szCs w:val="22"/>
        </w:rPr>
        <w:sectPr w:rsidR="00692E65" w:rsidRPr="005A49D3" w:rsidSect="009D6E9F">
          <w:pgSz w:w="16838" w:h="11906" w:orient="landscape" w:code="9"/>
          <w:pgMar w:top="1800" w:right="1440" w:bottom="1800" w:left="1440" w:header="720" w:footer="720" w:gutter="0"/>
          <w:cols w:space="708"/>
          <w:docGrid w:linePitch="360"/>
        </w:sectPr>
      </w:pPr>
    </w:p>
    <w:p w:rsidR="00EA09AE" w:rsidRPr="00A94EB7" w:rsidRDefault="00EA09AE" w:rsidP="00A94EB7">
      <w:pPr>
        <w:pStyle w:val="Heading1"/>
      </w:pPr>
      <w:bookmarkStart w:id="95" w:name="_Toc535744287"/>
      <w:bookmarkStart w:id="96" w:name="_Toc535750216"/>
      <w:r w:rsidRPr="00A94EB7">
        <w:lastRenderedPageBreak/>
        <w:t>GOVERNMENT EXPENDITURE BY FUNCTIONAL CLASSIFICATION</w:t>
      </w:r>
      <w:bookmarkEnd w:id="95"/>
      <w:bookmarkEnd w:id="96"/>
    </w:p>
    <w:p w:rsidR="00EA09AE" w:rsidRPr="00E115BE" w:rsidRDefault="00EA09AE" w:rsidP="005A49D3">
      <w:pPr>
        <w:jc w:val="both"/>
        <w:rPr>
          <w:szCs w:val="22"/>
          <w:lang w:bidi="ps-AF"/>
        </w:rPr>
      </w:pPr>
      <w:r w:rsidRPr="00E115BE">
        <w:rPr>
          <w:szCs w:val="22"/>
          <w:lang w:bidi="ps-AF"/>
        </w:rPr>
        <w:t>The COFOG expenditure classification is independent of the government organizational structure, and demonstrates the allocation of resources among sectors without regard to the administrative agency under which the expenditure falls.  The COFOG classification is important both for budget policy analysis and international comparisons, as it adheres to accepted international standards for fiscal reporting.  The classification has shown to be useful to a wide variety of analytic applications. For example, statistics on health, education, social protection, and environmental protection, can be used to study the effectiveness of government programs in these areas, and the alignment of expenditures with articulated priorities of government.</w:t>
      </w:r>
    </w:p>
    <w:p w:rsidR="00EA09AE" w:rsidRPr="00E115BE" w:rsidRDefault="00EA09AE" w:rsidP="005A49D3">
      <w:pPr>
        <w:jc w:val="both"/>
        <w:rPr>
          <w:szCs w:val="22"/>
          <w:lang w:bidi="ps-AF"/>
        </w:rPr>
      </w:pPr>
      <w:r w:rsidRPr="00E115BE">
        <w:rPr>
          <w:szCs w:val="22"/>
          <w:lang w:bidi="ps-AF"/>
        </w:rPr>
        <w:t>The COFOG presented in the Budget statements includes three levels of detail. It is composed of 10 major functions referred to as first level divisions, such as Health (Division 07) and social protection (Division 10).  Within each division, there are several groups, or three-digit categories, such as hospital services (Group 073). Within each group, there are one or more classes, or four-digit categories, such as nursing and convalescent home services (Class 0734).   The prefix “7” has been added to align the COFOG codes with other GFSM classification codes.</w:t>
      </w:r>
    </w:p>
    <w:p w:rsidR="00EA09AE" w:rsidRPr="00A94EB7" w:rsidRDefault="00EA09AE" w:rsidP="00A94EB7">
      <w:pPr>
        <w:pStyle w:val="Heading2"/>
      </w:pPr>
      <w:bookmarkStart w:id="97" w:name="_Toc535744288"/>
      <w:bookmarkStart w:id="98" w:name="_Toc535750217"/>
      <w:r w:rsidRPr="00A94EB7">
        <w:t>SUMMARY OF OUTLAYS BY FUNCTION</w:t>
      </w:r>
      <w:bookmarkEnd w:id="97"/>
      <w:bookmarkEnd w:id="98"/>
    </w:p>
    <w:p w:rsidR="00EA09AE" w:rsidRPr="00E115BE" w:rsidRDefault="003E3F09" w:rsidP="005A49D3">
      <w:pPr>
        <w:jc w:val="both"/>
        <w:rPr>
          <w:szCs w:val="22"/>
          <w:lang w:bidi="ps-AF"/>
        </w:rPr>
      </w:pPr>
      <w:r>
        <w:rPr>
          <w:szCs w:val="22"/>
          <w:lang w:bidi="ps-AF"/>
        </w:rPr>
        <w:t>National defens</w:t>
      </w:r>
      <w:r w:rsidR="00EA09AE" w:rsidRPr="00E115BE">
        <w:rPr>
          <w:szCs w:val="22"/>
          <w:lang w:bidi="ps-AF"/>
        </w:rPr>
        <w:t>e comprises the major area of expenditure (25% of total or Afs 100 bln) that indicates the deteriorating security situation of the country, followed by Economic Affairs (17% of the total or Afs 67 bln). Public order and safety ranks third among the expenditure categories and comprises of wages and salaries of Police in the Ministry of Interior Affairs (16% of total or Afs 63 bln). Education and Health together acquires 17% of the total budget with AFS 50 bln and Afs 17 bln respectively.</w:t>
      </w:r>
    </w:p>
    <w:p w:rsidR="00EA09AE" w:rsidRPr="005A49D3" w:rsidRDefault="00EA09AE" w:rsidP="005A49D3">
      <w:pPr>
        <w:ind w:left="7200"/>
        <w:jc w:val="both"/>
        <w:rPr>
          <w:rFonts w:asciiTheme="majorBidi" w:eastAsia="Times New Roman" w:hAnsiTheme="majorBidi" w:cstheme="majorBidi"/>
          <w:b/>
          <w:bCs/>
          <w:color w:val="000000"/>
          <w:szCs w:val="22"/>
          <w:lang w:eastAsia="en-AU"/>
        </w:rPr>
      </w:pPr>
    </w:p>
    <w:p w:rsidR="00EA09AE" w:rsidRPr="00A94EB7" w:rsidRDefault="00EA09AE" w:rsidP="00A94EB7">
      <w:pPr>
        <w:pStyle w:val="Heading3"/>
      </w:pPr>
      <w:bookmarkStart w:id="99" w:name="_Toc535744289"/>
      <w:bookmarkStart w:id="100" w:name="_Toc535750218"/>
      <w:r w:rsidRPr="00A94EB7">
        <w:t>GENERAL PUBLIC SERVICES</w:t>
      </w:r>
      <w:bookmarkEnd w:id="99"/>
      <w:bookmarkEnd w:id="100"/>
    </w:p>
    <w:p w:rsidR="00EA09AE" w:rsidRPr="00E115BE" w:rsidRDefault="00EA09AE" w:rsidP="005A49D3">
      <w:pPr>
        <w:jc w:val="both"/>
        <w:rPr>
          <w:szCs w:val="22"/>
          <w:lang w:bidi="ps-AF"/>
        </w:rPr>
      </w:pPr>
      <w:r w:rsidRPr="00E115BE">
        <w:rPr>
          <w:szCs w:val="22"/>
          <w:lang w:bidi="ps-AF"/>
        </w:rPr>
        <w:t>The General Public Services function comprises expenditure for the Executive and Legislative organs, financial and fiscal affairs, external affairs, and general services. The major portion of expenditure is assigned to expenditures on: Executive and Legislative Organs (75% of total or Afs 40 bln) followed by General services category which comprises of 23% of the total function’s budget.</w:t>
      </w:r>
    </w:p>
    <w:p w:rsidR="00EA09AE" w:rsidRPr="00A94EB7" w:rsidRDefault="003E3F09" w:rsidP="00A94EB7">
      <w:pPr>
        <w:pStyle w:val="Heading3"/>
      </w:pPr>
      <w:bookmarkStart w:id="101" w:name="_Toc535744290"/>
      <w:bookmarkStart w:id="102" w:name="_Toc535750219"/>
      <w:r w:rsidRPr="00A94EB7">
        <w:t>DEFENS</w:t>
      </w:r>
      <w:r w:rsidR="00EA09AE" w:rsidRPr="00A94EB7">
        <w:t>E</w:t>
      </w:r>
      <w:bookmarkEnd w:id="101"/>
      <w:bookmarkEnd w:id="102"/>
    </w:p>
    <w:p w:rsidR="00EA09AE" w:rsidRPr="00E115BE" w:rsidRDefault="00EA09AE" w:rsidP="005A49D3">
      <w:pPr>
        <w:jc w:val="both"/>
        <w:rPr>
          <w:szCs w:val="22"/>
          <w:lang w:bidi="ps-AF"/>
        </w:rPr>
      </w:pPr>
      <w:r w:rsidRPr="00E115BE">
        <w:rPr>
          <w:szCs w:val="22"/>
          <w:lang w:bidi="ps-AF"/>
        </w:rPr>
        <w:t xml:space="preserve">The Defence function comprises expenditure for administration of military defence affairs and services, and operation of land, sea and air defence forces. The major portion of expenditure is assigned to expenditures on Military Defence (78% of total or Afs 78.8 bln), followed by Defence not elsewhere classified (n.e.c.) (21% of total or Afs 21.4 bln).  Defence n.e.c. comprises expenditures on administration, operation or support of activities such as formulation, administration, coordination, and monitoring of overall policies, plans and programs relating to defence; preparation and enforcement of legislation; and technical documentation and statistics on defence. </w:t>
      </w:r>
    </w:p>
    <w:p w:rsidR="00EA09AE" w:rsidRPr="00A94EB7" w:rsidRDefault="00EA09AE" w:rsidP="00A94EB7">
      <w:pPr>
        <w:pStyle w:val="Heading3"/>
      </w:pPr>
      <w:bookmarkStart w:id="103" w:name="_Toc535744291"/>
      <w:bookmarkStart w:id="104" w:name="_Toc535750220"/>
      <w:r w:rsidRPr="00A94EB7">
        <w:t>PUBLIC ORDER AND SAFETY</w:t>
      </w:r>
      <w:bookmarkEnd w:id="103"/>
      <w:bookmarkEnd w:id="104"/>
    </w:p>
    <w:p w:rsidR="00EA09AE" w:rsidRPr="003E3F09" w:rsidRDefault="00EA09AE" w:rsidP="005A49D3">
      <w:pPr>
        <w:jc w:val="both"/>
        <w:rPr>
          <w:szCs w:val="22"/>
          <w:lang w:bidi="ps-AF"/>
        </w:rPr>
      </w:pPr>
      <w:r w:rsidRPr="003E3F09">
        <w:rPr>
          <w:szCs w:val="22"/>
          <w:lang w:bidi="ps-AF"/>
        </w:rPr>
        <w:t>The Public order and Safety function comprises expenditure for administration of police affairs and services, including maintenance of arrest records and statistics related to police work, road traffic regulation and control and prevention of smuggling.</w:t>
      </w:r>
      <w:r w:rsidRPr="003E3F09">
        <w:rPr>
          <w:szCs w:val="22"/>
          <w:rtl/>
          <w:lang w:bidi="ps-AF"/>
        </w:rPr>
        <w:t xml:space="preserve"> </w:t>
      </w:r>
      <w:r w:rsidRPr="003E3F09">
        <w:rPr>
          <w:szCs w:val="22"/>
          <w:lang w:bidi="ps-AF"/>
        </w:rPr>
        <w:t>The greatest portion of planned expenditure is related to Police services (87% of total or Afs 5</w:t>
      </w:r>
      <w:r w:rsidRPr="003E3F09">
        <w:rPr>
          <w:szCs w:val="22"/>
          <w:rtl/>
          <w:lang w:bidi="ps-AF"/>
        </w:rPr>
        <w:t>5</w:t>
      </w:r>
      <w:r w:rsidRPr="003E3F09">
        <w:rPr>
          <w:szCs w:val="22"/>
          <w:lang w:bidi="ps-AF"/>
        </w:rPr>
        <w:t xml:space="preserve"> bln), followed by Law Courts (12.</w:t>
      </w:r>
      <w:r w:rsidRPr="003E3F09">
        <w:rPr>
          <w:szCs w:val="22"/>
          <w:rtl/>
          <w:lang w:bidi="ps-AF"/>
        </w:rPr>
        <w:t>4</w:t>
      </w:r>
      <w:r w:rsidRPr="003E3F09">
        <w:rPr>
          <w:szCs w:val="22"/>
          <w:lang w:bidi="ps-AF"/>
        </w:rPr>
        <w:t>% of total or Afs 7.</w:t>
      </w:r>
      <w:r w:rsidRPr="003E3F09">
        <w:rPr>
          <w:szCs w:val="22"/>
          <w:rtl/>
          <w:lang w:bidi="ps-AF"/>
        </w:rPr>
        <w:t>8</w:t>
      </w:r>
      <w:r w:rsidRPr="003E3F09">
        <w:rPr>
          <w:szCs w:val="22"/>
          <w:lang w:bidi="ps-AF"/>
        </w:rPr>
        <w:t xml:space="preserve"> bln).  The latter is related to administration, operation, or support of civil and criminal law courts and the judicial system.</w:t>
      </w:r>
    </w:p>
    <w:p w:rsidR="00EA09AE" w:rsidRPr="00A94EB7" w:rsidRDefault="00EA09AE" w:rsidP="00A94EB7">
      <w:pPr>
        <w:pStyle w:val="Heading3"/>
      </w:pPr>
      <w:bookmarkStart w:id="105" w:name="_Toc535744292"/>
      <w:bookmarkStart w:id="106" w:name="_Toc535750221"/>
      <w:bookmarkStart w:id="107" w:name="_Hlk488571696"/>
      <w:r w:rsidRPr="00A94EB7">
        <w:lastRenderedPageBreak/>
        <w:t>ECONOMIC AFFAIRS</w:t>
      </w:r>
      <w:bookmarkEnd w:id="105"/>
      <w:bookmarkEnd w:id="106"/>
    </w:p>
    <w:p w:rsidR="00EA09AE" w:rsidRPr="003E3F09" w:rsidRDefault="00EA09AE" w:rsidP="005A49D3">
      <w:pPr>
        <w:jc w:val="both"/>
        <w:rPr>
          <w:szCs w:val="22"/>
          <w:lang w:bidi="ps-AF"/>
        </w:rPr>
      </w:pPr>
      <w:r w:rsidRPr="003E3F09">
        <w:rPr>
          <w:szCs w:val="22"/>
          <w:lang w:bidi="ps-AF"/>
        </w:rPr>
        <w:t>The Economic Affairs function involves expenditure for general economic, commercial, and labour affairs.  Budget funds allocated under this classification comprise the major area of planned expenditure in the 1398 Budget -</w:t>
      </w:r>
      <w:r w:rsidRPr="003E3F09">
        <w:rPr>
          <w:szCs w:val="22"/>
          <w:rtl/>
          <w:lang w:bidi="ps-AF"/>
        </w:rPr>
        <w:t xml:space="preserve"> </w:t>
      </w:r>
      <w:r w:rsidRPr="003E3F09">
        <w:rPr>
          <w:szCs w:val="22"/>
          <w:lang w:bidi="ps-AF"/>
        </w:rPr>
        <w:t>1</w:t>
      </w:r>
      <w:r w:rsidRPr="003E3F09">
        <w:rPr>
          <w:szCs w:val="22"/>
          <w:rtl/>
          <w:lang w:bidi="ps-AF"/>
        </w:rPr>
        <w:t>7</w:t>
      </w:r>
      <w:r w:rsidRPr="003E3F09">
        <w:rPr>
          <w:szCs w:val="22"/>
          <w:lang w:bidi="ps-AF"/>
        </w:rPr>
        <w:t>% of the total budget – and encompass expenditures on agriculture, fuel and energy, transport, industry and infrastructure.</w:t>
      </w:r>
      <w:r w:rsidRPr="003E3F09">
        <w:rPr>
          <w:szCs w:val="22"/>
          <w:rtl/>
          <w:lang w:bidi="ps-AF"/>
        </w:rPr>
        <w:t xml:space="preserve"> </w:t>
      </w:r>
      <w:r w:rsidRPr="003E3F09">
        <w:rPr>
          <w:szCs w:val="22"/>
          <w:lang w:bidi="ps-AF"/>
        </w:rPr>
        <w:t>The largest portion of budget funds classified under this function relate to Transport infrastructure (3</w:t>
      </w:r>
      <w:r w:rsidRPr="003E3F09">
        <w:rPr>
          <w:szCs w:val="22"/>
          <w:rtl/>
          <w:lang w:bidi="ps-AF"/>
        </w:rPr>
        <w:t>5</w:t>
      </w:r>
      <w:r w:rsidRPr="003E3F09">
        <w:rPr>
          <w:szCs w:val="22"/>
          <w:lang w:bidi="ps-AF"/>
        </w:rPr>
        <w:t>% of total or Afs 2</w:t>
      </w:r>
      <w:r w:rsidRPr="003E3F09">
        <w:rPr>
          <w:szCs w:val="22"/>
          <w:rtl/>
          <w:lang w:bidi="ps-AF"/>
        </w:rPr>
        <w:t>3</w:t>
      </w:r>
      <w:r w:rsidRPr="003E3F09">
        <w:rPr>
          <w:szCs w:val="22"/>
          <w:lang w:bidi="ps-AF"/>
        </w:rPr>
        <w:t xml:space="preserve"> bln), followed by planned expenditure on Agriculture, Forestry and fishing and Fuel and Energy. These three categories together make up to 80% of the function.</w:t>
      </w:r>
    </w:p>
    <w:p w:rsidR="00EA09AE" w:rsidRPr="00A94EB7" w:rsidRDefault="00EA09AE" w:rsidP="00A94EB7">
      <w:pPr>
        <w:pStyle w:val="Heading3"/>
      </w:pPr>
      <w:bookmarkStart w:id="108" w:name="_Toc535744293"/>
      <w:bookmarkStart w:id="109" w:name="_Toc535750222"/>
      <w:bookmarkEnd w:id="107"/>
      <w:r w:rsidRPr="00A94EB7">
        <w:t>ENVIRONMENTAL PROTECTION</w:t>
      </w:r>
      <w:bookmarkEnd w:id="108"/>
      <w:bookmarkEnd w:id="109"/>
    </w:p>
    <w:p w:rsidR="00EA09AE" w:rsidRPr="003E3F09" w:rsidRDefault="00EA09AE" w:rsidP="005A49D3">
      <w:pPr>
        <w:jc w:val="both"/>
        <w:rPr>
          <w:szCs w:val="22"/>
          <w:lang w:bidi="ps-AF"/>
        </w:rPr>
      </w:pPr>
      <w:r w:rsidRPr="003E3F09">
        <w:rPr>
          <w:szCs w:val="22"/>
          <w:lang w:bidi="ps-AF"/>
        </w:rPr>
        <w:t xml:space="preserve">The Environmental protection function comprises expenditure for waste management, pollution abatement, and pollution abatement. </w:t>
      </w:r>
    </w:p>
    <w:p w:rsidR="00EA09AE" w:rsidRPr="00A94EB7" w:rsidRDefault="00EA09AE" w:rsidP="00A94EB7">
      <w:pPr>
        <w:pStyle w:val="Heading3"/>
      </w:pPr>
      <w:bookmarkStart w:id="110" w:name="_Toc535744294"/>
      <w:bookmarkStart w:id="111" w:name="_Toc535750223"/>
      <w:r w:rsidRPr="00A94EB7">
        <w:t>HOUSING AND COMMUNITY AMENITIES</w:t>
      </w:r>
      <w:bookmarkEnd w:id="110"/>
      <w:bookmarkEnd w:id="111"/>
    </w:p>
    <w:p w:rsidR="00EA09AE" w:rsidRPr="003E3F09" w:rsidRDefault="00EA09AE" w:rsidP="005A49D3">
      <w:pPr>
        <w:jc w:val="both"/>
        <w:rPr>
          <w:szCs w:val="22"/>
          <w:lang w:bidi="ps-AF"/>
        </w:rPr>
      </w:pPr>
      <w:r w:rsidRPr="005A49D3">
        <w:rPr>
          <w:rFonts w:asciiTheme="majorBidi" w:hAnsiTheme="majorBidi" w:cstheme="majorBidi"/>
          <w:szCs w:val="22"/>
        </w:rPr>
        <w:t>Th</w:t>
      </w:r>
      <w:r w:rsidRPr="003E3F09">
        <w:rPr>
          <w:szCs w:val="22"/>
          <w:lang w:bidi="ps-AF"/>
        </w:rPr>
        <w:t>e Housing and Community Amenities function comprises expenditure for housing development, administration of community development affairs,</w:t>
      </w:r>
      <w:r w:rsidRPr="003E3F09">
        <w:rPr>
          <w:szCs w:val="22"/>
          <w:rtl/>
          <w:lang w:bidi="ps-AF"/>
        </w:rPr>
        <w:t xml:space="preserve"> </w:t>
      </w:r>
      <w:r w:rsidR="00A94EB7" w:rsidRPr="003E3F09">
        <w:rPr>
          <w:szCs w:val="22"/>
          <w:lang w:bidi="ps-AF"/>
        </w:rPr>
        <w:t>and administration</w:t>
      </w:r>
      <w:r w:rsidRPr="003E3F09">
        <w:rPr>
          <w:szCs w:val="22"/>
          <w:lang w:bidi="ps-AF"/>
        </w:rPr>
        <w:t xml:space="preserve"> of water supply affairs, street lighting and housing.</w:t>
      </w:r>
      <w:r w:rsidRPr="003E3F09">
        <w:rPr>
          <w:szCs w:val="22"/>
          <w:rtl/>
          <w:lang w:bidi="ps-AF"/>
        </w:rPr>
        <w:t xml:space="preserve"> </w:t>
      </w:r>
      <w:r w:rsidRPr="003E3F09">
        <w:rPr>
          <w:szCs w:val="22"/>
          <w:lang w:bidi="ps-AF"/>
        </w:rPr>
        <w:t>The greatest portion of planned expenditure is related to community Development (</w:t>
      </w:r>
      <w:r w:rsidRPr="003E3F09">
        <w:rPr>
          <w:szCs w:val="22"/>
          <w:rtl/>
          <w:lang w:bidi="ps-AF"/>
        </w:rPr>
        <w:t>56</w:t>
      </w:r>
      <w:r w:rsidRPr="003E3F09">
        <w:rPr>
          <w:szCs w:val="22"/>
          <w:lang w:bidi="ps-AF"/>
        </w:rPr>
        <w:t>% of total or 4,626 million AFs), followed by Housing development (33% of total or Afs 2.7 bln). Housing Development relates to administration of housing development affairs and services, including grants, loans, or subsidies to support the expansion, purchase of land, improvement, or maintenance of the housing stock.</w:t>
      </w:r>
    </w:p>
    <w:p w:rsidR="00EA09AE" w:rsidRPr="00A94EB7" w:rsidRDefault="00EA09AE" w:rsidP="00A94EB7">
      <w:pPr>
        <w:pStyle w:val="Heading3"/>
      </w:pPr>
      <w:bookmarkStart w:id="112" w:name="_Toc535744295"/>
      <w:bookmarkStart w:id="113" w:name="_Toc535750224"/>
      <w:bookmarkStart w:id="114" w:name="_Hlk488585214"/>
      <w:r w:rsidRPr="00A94EB7">
        <w:t>HEALTH</w:t>
      </w:r>
      <w:bookmarkEnd w:id="112"/>
      <w:bookmarkEnd w:id="113"/>
    </w:p>
    <w:bookmarkEnd w:id="114"/>
    <w:p w:rsidR="00EA09AE" w:rsidRPr="002A06A9" w:rsidRDefault="00EA09AE" w:rsidP="005A49D3">
      <w:pPr>
        <w:jc w:val="both"/>
        <w:rPr>
          <w:szCs w:val="22"/>
          <w:lang w:bidi="ps-AF"/>
        </w:rPr>
      </w:pPr>
      <w:r w:rsidRPr="003E3F09">
        <w:rPr>
          <w:szCs w:val="22"/>
          <w:lang w:bidi="ps-AF"/>
        </w:rPr>
        <w:t>The Health function includes expenditure on services provided to individual persons and services provided on a collective basis, including: medical products, pharmaceuticals, appliances, and equipment; outpatient services including dental; hospital services; support for public health services, such as blood collection, immunization, disease detection and information services; and research and development.</w:t>
      </w:r>
      <w:r w:rsidRPr="002A06A9">
        <w:rPr>
          <w:szCs w:val="22"/>
          <w:lang w:bidi="ps-AF"/>
        </w:rPr>
        <w:t xml:space="preserve"> </w:t>
      </w:r>
    </w:p>
    <w:p w:rsidR="00EA09AE" w:rsidRPr="00A94EB7" w:rsidRDefault="00EA09AE" w:rsidP="00A94EB7">
      <w:pPr>
        <w:pStyle w:val="Heading3"/>
      </w:pPr>
      <w:bookmarkStart w:id="115" w:name="_Toc535744296"/>
      <w:bookmarkStart w:id="116" w:name="_Toc535750225"/>
      <w:r w:rsidRPr="00A94EB7">
        <w:t>RECREATION, CULTURE, AND RELIGION</w:t>
      </w:r>
      <w:bookmarkEnd w:id="115"/>
      <w:bookmarkEnd w:id="116"/>
    </w:p>
    <w:p w:rsidR="00EA09AE" w:rsidRPr="003E3F09" w:rsidRDefault="00EA09AE" w:rsidP="005A49D3">
      <w:pPr>
        <w:jc w:val="both"/>
        <w:rPr>
          <w:szCs w:val="22"/>
          <w:lang w:bidi="ps-AF"/>
        </w:rPr>
      </w:pPr>
      <w:r w:rsidRPr="003E3F09">
        <w:rPr>
          <w:szCs w:val="22"/>
          <w:lang w:bidi="ps-AF"/>
        </w:rPr>
        <w:t xml:space="preserve">The Recreation, Culture, and Religion function includes government expenditure on services provided to individuals and the community for formulation and enforcement of legislation and standards for providing recreational and cultural services; and development of recreational, cultural, and religious affairs and services.  </w:t>
      </w:r>
    </w:p>
    <w:p w:rsidR="00EA09AE" w:rsidRPr="00A94EB7" w:rsidRDefault="009516D8" w:rsidP="00A94EB7">
      <w:pPr>
        <w:pStyle w:val="Heading3"/>
      </w:pPr>
      <w:bookmarkStart w:id="117" w:name="_Toc535750226"/>
      <w:r>
        <w:t>EDUCATION</w:t>
      </w:r>
      <w:bookmarkEnd w:id="117"/>
      <w:r>
        <w:t xml:space="preserve"> </w:t>
      </w:r>
    </w:p>
    <w:p w:rsidR="00EA09AE" w:rsidRPr="003E3F09" w:rsidRDefault="00EA09AE" w:rsidP="005A49D3">
      <w:pPr>
        <w:jc w:val="both"/>
        <w:rPr>
          <w:szCs w:val="22"/>
          <w:lang w:bidi="ps-AF"/>
        </w:rPr>
      </w:pPr>
      <w:r w:rsidRPr="003E3F09">
        <w:rPr>
          <w:szCs w:val="22"/>
          <w:lang w:bidi="ps-AF"/>
        </w:rPr>
        <w:t>Government expenditure on the Education function includes expenditure on services provided to individual pupils and the community for formulation and administration of government policy; setting and enforcement of standards; regulation, licensing, and supervision of educational establishments; and applied research and experimental development into education affairs and services.</w:t>
      </w:r>
    </w:p>
    <w:p w:rsidR="00EA09AE" w:rsidRPr="003E3F09" w:rsidRDefault="00EA09AE" w:rsidP="005A49D3">
      <w:pPr>
        <w:jc w:val="both"/>
        <w:rPr>
          <w:szCs w:val="22"/>
          <w:lang w:bidi="ps-AF"/>
        </w:rPr>
      </w:pPr>
      <w:r w:rsidRPr="003E3F09">
        <w:rPr>
          <w:szCs w:val="22"/>
          <w:lang w:bidi="ps-AF"/>
        </w:rPr>
        <w:t xml:space="preserve">  The largest allocation of expenditure under this function relates to Pre-primary and Primary Education which amounts to 45% of the total, or Afs 22 bln. The second biggest category is Education n.e.c. This classification relates to education expenditure that cannot be assigned to the more specific classifications listed under Pre-primary and Primary Education, Secondary Education, Tertiary Education, and Postsecondary No Tertiary Education.  Expenditure under this classification relates to administration, operation, or support of activities such as formulation, administration, coordination, and monitoring of overall educational policies, plans, programs, and budgets; preparation and enforcement of legislation and standards for the provision of education, including licensing of educational establishments; production and dissemination of general information, technical documentation, and statistics on education.</w:t>
      </w:r>
    </w:p>
    <w:p w:rsidR="00EA09AE" w:rsidRPr="00A94EB7" w:rsidRDefault="003E3F09" w:rsidP="00A94EB7">
      <w:pPr>
        <w:pStyle w:val="Heading3"/>
      </w:pPr>
      <w:bookmarkStart w:id="118" w:name="_Toc535744298"/>
      <w:bookmarkStart w:id="119" w:name="_Toc535750227"/>
      <w:r w:rsidRPr="00A94EB7">
        <w:lastRenderedPageBreak/>
        <w:t>S</w:t>
      </w:r>
      <w:bookmarkEnd w:id="118"/>
      <w:r w:rsidR="009516D8">
        <w:t>OCIAL PROTECTION</w:t>
      </w:r>
      <w:bookmarkEnd w:id="119"/>
      <w:r w:rsidR="009516D8">
        <w:t xml:space="preserve"> </w:t>
      </w:r>
    </w:p>
    <w:p w:rsidR="00EA09AE" w:rsidRPr="002A06A9" w:rsidRDefault="00EA09AE" w:rsidP="005A49D3">
      <w:pPr>
        <w:jc w:val="both"/>
        <w:rPr>
          <w:szCs w:val="22"/>
          <w:lang w:bidi="ps-AF"/>
        </w:rPr>
      </w:pPr>
      <w:r w:rsidRPr="002A06A9">
        <w:rPr>
          <w:szCs w:val="22"/>
          <w:lang w:bidi="ps-AF"/>
        </w:rPr>
        <w:t>Government expenditure on social protection includes expenditure on services and transfers provided</w:t>
      </w:r>
    </w:p>
    <w:p w:rsidR="00EA09AE" w:rsidRPr="002A06A9" w:rsidRDefault="00EA09AE" w:rsidP="005A49D3">
      <w:pPr>
        <w:jc w:val="both"/>
        <w:rPr>
          <w:szCs w:val="22"/>
          <w:lang w:bidi="ps-AF"/>
        </w:rPr>
      </w:pPr>
      <w:r w:rsidRPr="002A06A9">
        <w:rPr>
          <w:szCs w:val="22"/>
          <w:lang w:bidi="ps-AF"/>
        </w:rPr>
        <w:t>to individual persons and households for: sickness and disability; old age; survivors of a deceased person; cash benefits and benefits-in- kind to households with dependent children; cash and benefits to persons who are capable of work and available for work but are unable to find suitable employment; benefits to help households meet the cost of housing (recipients of these benefits are means-tested); and cash and benefits to persons who are socially excluded or at risk of social exclusion (such as persons who are destitute, low-income earners, immigrants, indigenous people, refugees, substance abusers, victims of criminal violence, etc.).</w:t>
      </w:r>
    </w:p>
    <w:p w:rsidR="00687185" w:rsidRPr="005A49D3" w:rsidRDefault="00687185" w:rsidP="00EA09AE">
      <w:pPr>
        <w:rPr>
          <w:szCs w:val="22"/>
        </w:rPr>
      </w:pPr>
    </w:p>
    <w:p w:rsidR="00687185" w:rsidRPr="005A49D3" w:rsidRDefault="00687185" w:rsidP="00EA09AE">
      <w:pPr>
        <w:rPr>
          <w:szCs w:val="22"/>
        </w:rPr>
      </w:pPr>
    </w:p>
    <w:p w:rsidR="00692E65" w:rsidRDefault="00692E65"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Default="00FF7E61" w:rsidP="00EA09AE">
      <w:pPr>
        <w:rPr>
          <w:szCs w:val="22"/>
        </w:rPr>
      </w:pPr>
    </w:p>
    <w:p w:rsidR="00FF7E61" w:rsidRPr="005A49D3" w:rsidRDefault="00FF7E61" w:rsidP="00EA09AE">
      <w:pPr>
        <w:rPr>
          <w:szCs w:val="22"/>
        </w:rPr>
        <w:sectPr w:rsidR="00FF7E61" w:rsidRPr="005A49D3" w:rsidSect="009D6E9F">
          <w:pgSz w:w="11906" w:h="16838" w:code="9"/>
          <w:pgMar w:top="1440" w:right="1800" w:bottom="1440" w:left="1800" w:header="720" w:footer="720" w:gutter="0"/>
          <w:cols w:space="708"/>
          <w:docGrid w:linePitch="360"/>
        </w:sectPr>
      </w:pPr>
    </w:p>
    <w:p w:rsidR="001225F0" w:rsidRPr="001225F0" w:rsidRDefault="001225F0" w:rsidP="001225F0">
      <w:pPr>
        <w:pStyle w:val="Caption"/>
        <w:bidi w:val="0"/>
        <w:rPr>
          <w:rFonts w:ascii="Garamond" w:hAnsi="Garamond"/>
          <w:sz w:val="22"/>
          <w:szCs w:val="22"/>
        </w:rPr>
      </w:pPr>
      <w:bookmarkStart w:id="120" w:name="_Toc535750272"/>
      <w:r w:rsidRPr="001225F0">
        <w:rPr>
          <w:rFonts w:ascii="Garamond" w:hAnsi="Garamond"/>
          <w:sz w:val="22"/>
          <w:szCs w:val="22"/>
        </w:rPr>
        <w:lastRenderedPageBreak/>
        <w:t xml:space="preserve">Table </w:t>
      </w:r>
      <w:r w:rsidRPr="001225F0">
        <w:rPr>
          <w:rFonts w:ascii="Garamond" w:hAnsi="Garamond"/>
          <w:sz w:val="22"/>
          <w:szCs w:val="22"/>
        </w:rPr>
        <w:fldChar w:fldCharType="begin"/>
      </w:r>
      <w:r w:rsidRPr="001225F0">
        <w:rPr>
          <w:rFonts w:ascii="Garamond" w:hAnsi="Garamond"/>
          <w:sz w:val="22"/>
          <w:szCs w:val="22"/>
        </w:rPr>
        <w:instrText xml:space="preserve"> SEQ Table \* ARABIC </w:instrText>
      </w:r>
      <w:r w:rsidRPr="001225F0">
        <w:rPr>
          <w:rFonts w:ascii="Garamond" w:hAnsi="Garamond"/>
          <w:sz w:val="22"/>
          <w:szCs w:val="22"/>
        </w:rPr>
        <w:fldChar w:fldCharType="separate"/>
      </w:r>
      <w:r w:rsidR="00862183">
        <w:rPr>
          <w:rFonts w:ascii="Garamond" w:hAnsi="Garamond"/>
          <w:noProof/>
          <w:sz w:val="22"/>
          <w:szCs w:val="22"/>
        </w:rPr>
        <w:t>11</w:t>
      </w:r>
      <w:r w:rsidRPr="001225F0">
        <w:rPr>
          <w:rFonts w:ascii="Garamond" w:hAnsi="Garamond"/>
          <w:sz w:val="22"/>
          <w:szCs w:val="22"/>
        </w:rPr>
        <w:fldChar w:fldCharType="end"/>
      </w:r>
      <w:r>
        <w:rPr>
          <w:rFonts w:ascii="Garamond" w:hAnsi="Garamond"/>
          <w:sz w:val="22"/>
          <w:szCs w:val="22"/>
        </w:rPr>
        <w:t xml:space="preserve"> </w:t>
      </w:r>
      <w:r w:rsidRPr="001225F0">
        <w:rPr>
          <w:rFonts w:ascii="Garamond" w:hAnsi="Garamond"/>
          <w:sz w:val="22"/>
          <w:szCs w:val="22"/>
        </w:rPr>
        <w:t>Government Expenditure by Functional Classification for FY (1398-1401)</w:t>
      </w:r>
      <w:bookmarkEnd w:id="120"/>
    </w:p>
    <w:tbl>
      <w:tblPr>
        <w:tblW w:w="5000" w:type="pct"/>
        <w:jc w:val="center"/>
        <w:tblBorders>
          <w:top w:val="single" w:sz="8" w:space="0" w:color="000000"/>
          <w:left w:val="single" w:sz="8" w:space="0" w:color="000000"/>
          <w:bottom w:val="single" w:sz="8" w:space="0" w:color="000000"/>
          <w:right w:val="single" w:sz="8" w:space="0" w:color="000000"/>
        </w:tblBorders>
        <w:tblCellMar>
          <w:left w:w="0" w:type="dxa"/>
          <w:right w:w="0" w:type="dxa"/>
        </w:tblCellMar>
        <w:tblLook w:val="04A0" w:firstRow="1" w:lastRow="0" w:firstColumn="1" w:lastColumn="0" w:noHBand="0" w:noVBand="1"/>
      </w:tblPr>
      <w:tblGrid>
        <w:gridCol w:w="3176"/>
        <w:gridCol w:w="1545"/>
        <w:gridCol w:w="1544"/>
        <w:gridCol w:w="1544"/>
        <w:gridCol w:w="1544"/>
        <w:gridCol w:w="1544"/>
        <w:gridCol w:w="1544"/>
        <w:gridCol w:w="1547"/>
      </w:tblGrid>
      <w:tr w:rsidR="00EA09AE" w:rsidRPr="003E3F09" w:rsidTr="001225F0">
        <w:trPr>
          <w:trHeight w:val="345"/>
          <w:tblHeader/>
          <w:jc w:val="center"/>
        </w:trPr>
        <w:tc>
          <w:tcPr>
            <w:tcW w:w="1135" w:type="pct"/>
            <w:shd w:val="clear" w:color="auto" w:fill="AAB9C1"/>
            <w:tcMar>
              <w:top w:w="15" w:type="dxa"/>
              <w:left w:w="15" w:type="dxa"/>
              <w:bottom w:w="0" w:type="dxa"/>
              <w:right w:w="15" w:type="dxa"/>
            </w:tcMar>
            <w:vAlign w:val="bottom"/>
            <w:hideMark/>
          </w:tcPr>
          <w:p w:rsidR="00EA09AE" w:rsidRPr="003E3F09" w:rsidRDefault="00EA09AE" w:rsidP="00EA09AE">
            <w:pPr>
              <w:bidi/>
              <w:jc w:val="center"/>
              <w:rPr>
                <w:rFonts w:eastAsia="Times New Roman" w:cs="B Zar"/>
                <w:b/>
                <w:bCs/>
                <w:color w:val="000000"/>
                <w:sz w:val="18"/>
                <w:szCs w:val="18"/>
              </w:rPr>
            </w:pPr>
            <w:r w:rsidRPr="003E3F09">
              <w:rPr>
                <w:rFonts w:eastAsia="Times New Roman" w:cs="B Zar"/>
                <w:b/>
                <w:bCs/>
                <w:color w:val="000000"/>
                <w:sz w:val="18"/>
                <w:szCs w:val="18"/>
              </w:rPr>
              <w:t>Expenditure by Function</w:t>
            </w:r>
          </w:p>
        </w:tc>
        <w:tc>
          <w:tcPr>
            <w:tcW w:w="552" w:type="pct"/>
            <w:shd w:val="clear" w:color="auto" w:fill="AAB9C1"/>
            <w:tcMar>
              <w:top w:w="15" w:type="dxa"/>
              <w:left w:w="15" w:type="dxa"/>
              <w:bottom w:w="0" w:type="dxa"/>
              <w:right w:w="15" w:type="dxa"/>
            </w:tcMar>
            <w:vAlign w:val="center"/>
            <w:hideMark/>
          </w:tcPr>
          <w:p w:rsidR="00EA09AE" w:rsidRPr="003E3F09" w:rsidRDefault="003E3F09" w:rsidP="00EA09AE">
            <w:pPr>
              <w:jc w:val="center"/>
              <w:rPr>
                <w:rFonts w:eastAsia="Times New Roman"/>
                <w:b/>
                <w:bCs/>
                <w:sz w:val="18"/>
                <w:szCs w:val="18"/>
              </w:rPr>
            </w:pPr>
            <w:r>
              <w:rPr>
                <w:rFonts w:eastAsia="Times New Roman"/>
                <w:b/>
                <w:bCs/>
                <w:sz w:val="18"/>
                <w:szCs w:val="18"/>
              </w:rPr>
              <w:t>1396</w:t>
            </w:r>
          </w:p>
        </w:tc>
        <w:tc>
          <w:tcPr>
            <w:tcW w:w="552" w:type="pct"/>
            <w:shd w:val="clear" w:color="auto" w:fill="AAB9C1"/>
            <w:tcMar>
              <w:top w:w="15" w:type="dxa"/>
              <w:left w:w="15" w:type="dxa"/>
              <w:bottom w:w="0" w:type="dxa"/>
              <w:right w:w="15" w:type="dxa"/>
            </w:tcMar>
            <w:vAlign w:val="center"/>
            <w:hideMark/>
          </w:tcPr>
          <w:p w:rsidR="00EA09AE" w:rsidRPr="003E3F09" w:rsidRDefault="003E3F09" w:rsidP="00EA09AE">
            <w:pPr>
              <w:jc w:val="center"/>
              <w:rPr>
                <w:rFonts w:eastAsia="Times New Roman"/>
                <w:b/>
                <w:bCs/>
                <w:sz w:val="18"/>
                <w:szCs w:val="18"/>
              </w:rPr>
            </w:pPr>
            <w:r>
              <w:rPr>
                <w:rFonts w:eastAsia="Times New Roman"/>
                <w:b/>
                <w:bCs/>
                <w:sz w:val="18"/>
                <w:szCs w:val="18"/>
              </w:rPr>
              <w:t>1397</w:t>
            </w:r>
          </w:p>
        </w:tc>
        <w:tc>
          <w:tcPr>
            <w:tcW w:w="552" w:type="pct"/>
            <w:shd w:val="clear" w:color="auto" w:fill="AAB9C1"/>
            <w:tcMar>
              <w:top w:w="15" w:type="dxa"/>
              <w:left w:w="15" w:type="dxa"/>
              <w:bottom w:w="0" w:type="dxa"/>
              <w:right w:w="15" w:type="dxa"/>
            </w:tcMar>
            <w:vAlign w:val="center"/>
            <w:hideMark/>
          </w:tcPr>
          <w:p w:rsidR="00EA09AE" w:rsidRPr="003E3F09" w:rsidRDefault="003E3F09" w:rsidP="00EA09AE">
            <w:pPr>
              <w:jc w:val="center"/>
              <w:rPr>
                <w:rFonts w:eastAsia="Times New Roman"/>
                <w:b/>
                <w:bCs/>
                <w:sz w:val="18"/>
                <w:szCs w:val="18"/>
              </w:rPr>
            </w:pPr>
            <w:r>
              <w:rPr>
                <w:rFonts w:eastAsia="Times New Roman"/>
                <w:b/>
                <w:bCs/>
                <w:sz w:val="18"/>
                <w:szCs w:val="18"/>
              </w:rPr>
              <w:t>1397</w:t>
            </w:r>
          </w:p>
        </w:tc>
        <w:tc>
          <w:tcPr>
            <w:tcW w:w="552" w:type="pct"/>
            <w:shd w:val="clear" w:color="auto" w:fill="AAB9C1"/>
            <w:tcMar>
              <w:top w:w="15" w:type="dxa"/>
              <w:left w:w="15" w:type="dxa"/>
              <w:bottom w:w="0" w:type="dxa"/>
              <w:right w:w="15" w:type="dxa"/>
            </w:tcMar>
            <w:vAlign w:val="center"/>
            <w:hideMark/>
          </w:tcPr>
          <w:p w:rsidR="00EA09AE" w:rsidRPr="003E3F09" w:rsidRDefault="003E3F09" w:rsidP="00EA09AE">
            <w:pPr>
              <w:jc w:val="center"/>
              <w:rPr>
                <w:rFonts w:eastAsia="Times New Roman"/>
                <w:b/>
                <w:bCs/>
                <w:sz w:val="18"/>
                <w:szCs w:val="18"/>
              </w:rPr>
            </w:pPr>
            <w:r>
              <w:rPr>
                <w:rFonts w:eastAsia="Times New Roman"/>
                <w:b/>
                <w:bCs/>
                <w:sz w:val="18"/>
                <w:szCs w:val="18"/>
              </w:rPr>
              <w:t>1398</w:t>
            </w:r>
          </w:p>
        </w:tc>
        <w:tc>
          <w:tcPr>
            <w:tcW w:w="552" w:type="pct"/>
            <w:shd w:val="clear" w:color="auto" w:fill="AAB9C1"/>
            <w:tcMar>
              <w:top w:w="15" w:type="dxa"/>
              <w:left w:w="15" w:type="dxa"/>
              <w:bottom w:w="0" w:type="dxa"/>
              <w:right w:w="15" w:type="dxa"/>
            </w:tcMar>
            <w:vAlign w:val="center"/>
            <w:hideMark/>
          </w:tcPr>
          <w:p w:rsidR="00EA09AE" w:rsidRPr="003E3F09" w:rsidRDefault="003E3F09" w:rsidP="00EA09AE">
            <w:pPr>
              <w:jc w:val="center"/>
              <w:rPr>
                <w:rFonts w:eastAsia="Times New Roman"/>
                <w:b/>
                <w:bCs/>
                <w:sz w:val="18"/>
                <w:szCs w:val="18"/>
              </w:rPr>
            </w:pPr>
            <w:r>
              <w:rPr>
                <w:rFonts w:eastAsia="Times New Roman"/>
                <w:b/>
                <w:bCs/>
                <w:sz w:val="18"/>
                <w:szCs w:val="18"/>
              </w:rPr>
              <w:t>1399</w:t>
            </w:r>
          </w:p>
        </w:tc>
        <w:tc>
          <w:tcPr>
            <w:tcW w:w="552" w:type="pct"/>
            <w:shd w:val="clear" w:color="auto" w:fill="AAB9C1"/>
            <w:tcMar>
              <w:top w:w="15" w:type="dxa"/>
              <w:left w:w="15" w:type="dxa"/>
              <w:bottom w:w="0" w:type="dxa"/>
              <w:right w:w="15" w:type="dxa"/>
            </w:tcMar>
            <w:vAlign w:val="center"/>
            <w:hideMark/>
          </w:tcPr>
          <w:p w:rsidR="00EA09AE" w:rsidRPr="003E3F09" w:rsidRDefault="003E3F09" w:rsidP="00EA09AE">
            <w:pPr>
              <w:jc w:val="center"/>
              <w:rPr>
                <w:rFonts w:eastAsia="Times New Roman"/>
                <w:b/>
                <w:bCs/>
                <w:sz w:val="18"/>
                <w:szCs w:val="18"/>
              </w:rPr>
            </w:pPr>
            <w:r>
              <w:rPr>
                <w:rFonts w:eastAsia="Times New Roman"/>
                <w:b/>
                <w:bCs/>
                <w:sz w:val="18"/>
                <w:szCs w:val="18"/>
              </w:rPr>
              <w:t>1400</w:t>
            </w:r>
          </w:p>
        </w:tc>
        <w:tc>
          <w:tcPr>
            <w:tcW w:w="553" w:type="pct"/>
            <w:shd w:val="clear" w:color="auto" w:fill="AAB9C1"/>
            <w:tcMar>
              <w:top w:w="15" w:type="dxa"/>
              <w:left w:w="15" w:type="dxa"/>
              <w:bottom w:w="0" w:type="dxa"/>
              <w:right w:w="15" w:type="dxa"/>
            </w:tcMar>
            <w:vAlign w:val="center"/>
            <w:hideMark/>
          </w:tcPr>
          <w:p w:rsidR="00EA09AE" w:rsidRPr="003E3F09" w:rsidRDefault="003E3F09" w:rsidP="00EA09AE">
            <w:pPr>
              <w:jc w:val="center"/>
              <w:rPr>
                <w:rFonts w:eastAsia="Times New Roman"/>
                <w:b/>
                <w:bCs/>
                <w:sz w:val="18"/>
                <w:szCs w:val="18"/>
              </w:rPr>
            </w:pPr>
            <w:r>
              <w:rPr>
                <w:rFonts w:eastAsia="Times New Roman"/>
                <w:b/>
                <w:bCs/>
                <w:sz w:val="18"/>
                <w:szCs w:val="18"/>
              </w:rPr>
              <w:t>1401</w:t>
            </w:r>
          </w:p>
        </w:tc>
      </w:tr>
      <w:tr w:rsidR="00EA09AE" w:rsidRPr="003E3F09" w:rsidTr="001225F0">
        <w:trPr>
          <w:trHeight w:val="345"/>
          <w:tblHeader/>
          <w:jc w:val="center"/>
        </w:trPr>
        <w:tc>
          <w:tcPr>
            <w:tcW w:w="1135" w:type="pct"/>
            <w:shd w:val="clear" w:color="auto" w:fill="AAB9C1"/>
            <w:tcMar>
              <w:top w:w="15" w:type="dxa"/>
              <w:left w:w="15" w:type="dxa"/>
              <w:bottom w:w="0" w:type="dxa"/>
              <w:right w:w="15" w:type="dxa"/>
            </w:tcMar>
            <w:vAlign w:val="center"/>
          </w:tcPr>
          <w:p w:rsidR="00EA09AE" w:rsidRPr="003E3F09" w:rsidRDefault="00EA09AE" w:rsidP="00EA09AE">
            <w:pPr>
              <w:jc w:val="center"/>
              <w:rPr>
                <w:rFonts w:eastAsia="Times New Roman"/>
                <w:b/>
                <w:bCs/>
                <w:sz w:val="18"/>
                <w:szCs w:val="18"/>
                <w:rtl/>
              </w:rPr>
            </w:pPr>
          </w:p>
        </w:tc>
        <w:tc>
          <w:tcPr>
            <w:tcW w:w="552" w:type="pct"/>
            <w:shd w:val="clear" w:color="auto" w:fill="AAB9C1"/>
            <w:tcMar>
              <w:top w:w="15" w:type="dxa"/>
              <w:left w:w="15" w:type="dxa"/>
              <w:bottom w:w="0" w:type="dxa"/>
              <w:right w:w="15" w:type="dxa"/>
            </w:tcMar>
            <w:vAlign w:val="center"/>
          </w:tcPr>
          <w:p w:rsidR="00EA09AE" w:rsidRPr="003E3F09" w:rsidRDefault="00EA09AE" w:rsidP="00EA09AE">
            <w:pPr>
              <w:jc w:val="center"/>
              <w:rPr>
                <w:rFonts w:eastAsia="Times New Roman"/>
                <w:b/>
                <w:bCs/>
                <w:sz w:val="18"/>
                <w:szCs w:val="18"/>
                <w:rtl/>
              </w:rPr>
            </w:pPr>
            <w:r w:rsidRPr="003E3F09">
              <w:rPr>
                <w:rFonts w:eastAsia="Times New Roman" w:cs="B Zar"/>
                <w:b/>
                <w:bCs/>
                <w:color w:val="000000"/>
                <w:sz w:val="18"/>
                <w:szCs w:val="18"/>
              </w:rPr>
              <w:t>Expenditure</w:t>
            </w:r>
          </w:p>
        </w:tc>
        <w:tc>
          <w:tcPr>
            <w:tcW w:w="552" w:type="pct"/>
            <w:shd w:val="clear" w:color="auto" w:fill="AAB9C1"/>
            <w:tcMar>
              <w:top w:w="15" w:type="dxa"/>
              <w:left w:w="15" w:type="dxa"/>
              <w:bottom w:w="0" w:type="dxa"/>
              <w:right w:w="15" w:type="dxa"/>
            </w:tcMar>
            <w:vAlign w:val="center"/>
          </w:tcPr>
          <w:p w:rsidR="00EA09AE" w:rsidRPr="003E3F09" w:rsidRDefault="00EA09AE" w:rsidP="00EA09AE">
            <w:pPr>
              <w:jc w:val="center"/>
              <w:rPr>
                <w:rFonts w:eastAsia="Times New Roman"/>
                <w:b/>
                <w:bCs/>
                <w:sz w:val="18"/>
                <w:szCs w:val="18"/>
                <w:rtl/>
              </w:rPr>
            </w:pPr>
            <w:r w:rsidRPr="003E3F09">
              <w:rPr>
                <w:rFonts w:eastAsia="Times New Roman" w:cs="B Zar"/>
                <w:b/>
                <w:bCs/>
                <w:color w:val="000000"/>
                <w:sz w:val="18"/>
                <w:szCs w:val="18"/>
              </w:rPr>
              <w:t>Approved Budget</w:t>
            </w:r>
          </w:p>
        </w:tc>
        <w:tc>
          <w:tcPr>
            <w:tcW w:w="552" w:type="pct"/>
            <w:shd w:val="clear" w:color="auto" w:fill="AAB9C1"/>
            <w:tcMar>
              <w:top w:w="15" w:type="dxa"/>
              <w:left w:w="15" w:type="dxa"/>
              <w:bottom w:w="0" w:type="dxa"/>
              <w:right w:w="15" w:type="dxa"/>
            </w:tcMar>
            <w:vAlign w:val="center"/>
          </w:tcPr>
          <w:p w:rsidR="00EA09AE" w:rsidRPr="003E3F09" w:rsidRDefault="00EA09AE" w:rsidP="00EA09AE">
            <w:pPr>
              <w:jc w:val="center"/>
              <w:rPr>
                <w:rFonts w:eastAsia="Times New Roman"/>
                <w:b/>
                <w:bCs/>
                <w:sz w:val="18"/>
                <w:szCs w:val="18"/>
                <w:rtl/>
              </w:rPr>
            </w:pPr>
            <w:r w:rsidRPr="003E3F09">
              <w:rPr>
                <w:rFonts w:eastAsia="Times New Roman" w:cs="B Zar"/>
                <w:b/>
                <w:bCs/>
                <w:color w:val="000000"/>
                <w:sz w:val="18"/>
                <w:szCs w:val="18"/>
              </w:rPr>
              <w:t>Actual Budget To Date</w:t>
            </w:r>
          </w:p>
        </w:tc>
        <w:tc>
          <w:tcPr>
            <w:tcW w:w="552" w:type="pct"/>
            <w:shd w:val="clear" w:color="auto" w:fill="AAB9C1"/>
            <w:tcMar>
              <w:top w:w="15" w:type="dxa"/>
              <w:left w:w="15" w:type="dxa"/>
              <w:bottom w:w="0" w:type="dxa"/>
              <w:right w:w="15" w:type="dxa"/>
            </w:tcMar>
            <w:vAlign w:val="bottom"/>
          </w:tcPr>
          <w:p w:rsidR="00EA09AE" w:rsidRPr="003E3F09" w:rsidRDefault="00EA09AE" w:rsidP="00EA09AE">
            <w:pPr>
              <w:bidi/>
              <w:jc w:val="center"/>
              <w:rPr>
                <w:rFonts w:eastAsia="Times New Roman" w:cs="B Zar"/>
                <w:b/>
                <w:bCs/>
                <w:color w:val="000000"/>
                <w:sz w:val="18"/>
                <w:szCs w:val="18"/>
              </w:rPr>
            </w:pPr>
            <w:r w:rsidRPr="003E3F09">
              <w:rPr>
                <w:rFonts w:eastAsia="Times New Roman" w:cs="B Zar"/>
                <w:b/>
                <w:bCs/>
                <w:color w:val="000000"/>
                <w:sz w:val="18"/>
                <w:szCs w:val="18"/>
              </w:rPr>
              <w:t xml:space="preserve">Budget </w:t>
            </w:r>
          </w:p>
        </w:tc>
        <w:tc>
          <w:tcPr>
            <w:tcW w:w="552" w:type="pct"/>
            <w:shd w:val="clear" w:color="auto" w:fill="AAB9C1"/>
            <w:tcMar>
              <w:top w:w="15" w:type="dxa"/>
              <w:left w:w="15" w:type="dxa"/>
              <w:bottom w:w="0" w:type="dxa"/>
              <w:right w:w="15" w:type="dxa"/>
            </w:tcMar>
            <w:vAlign w:val="bottom"/>
          </w:tcPr>
          <w:p w:rsidR="00EA09AE" w:rsidRPr="003E3F09" w:rsidRDefault="00EA09AE" w:rsidP="003E3F09">
            <w:pPr>
              <w:bidi/>
              <w:jc w:val="center"/>
              <w:rPr>
                <w:rFonts w:eastAsia="Times New Roman" w:cs="B Zar"/>
                <w:b/>
                <w:bCs/>
                <w:color w:val="000000"/>
                <w:sz w:val="18"/>
                <w:szCs w:val="18"/>
              </w:rPr>
            </w:pPr>
            <w:r w:rsidRPr="003E3F09">
              <w:rPr>
                <w:rFonts w:eastAsia="Times New Roman" w:cs="B Zar"/>
                <w:b/>
                <w:bCs/>
                <w:color w:val="000000"/>
                <w:sz w:val="18"/>
                <w:szCs w:val="18"/>
              </w:rPr>
              <w:t>FE1</w:t>
            </w:r>
          </w:p>
        </w:tc>
        <w:tc>
          <w:tcPr>
            <w:tcW w:w="552" w:type="pct"/>
            <w:shd w:val="clear" w:color="auto" w:fill="AAB9C1"/>
            <w:tcMar>
              <w:top w:w="15" w:type="dxa"/>
              <w:left w:w="15" w:type="dxa"/>
              <w:bottom w:w="0" w:type="dxa"/>
              <w:right w:w="15" w:type="dxa"/>
            </w:tcMar>
            <w:vAlign w:val="bottom"/>
          </w:tcPr>
          <w:p w:rsidR="00EA09AE" w:rsidRPr="003E3F09" w:rsidRDefault="00EA09AE" w:rsidP="003E3F09">
            <w:pPr>
              <w:bidi/>
              <w:jc w:val="center"/>
              <w:rPr>
                <w:rFonts w:eastAsia="Times New Roman" w:cs="B Zar"/>
                <w:b/>
                <w:bCs/>
                <w:color w:val="000000"/>
                <w:sz w:val="18"/>
                <w:szCs w:val="18"/>
              </w:rPr>
            </w:pPr>
            <w:r w:rsidRPr="003E3F09">
              <w:rPr>
                <w:rFonts w:eastAsia="Times New Roman" w:cs="B Zar"/>
                <w:b/>
                <w:bCs/>
                <w:color w:val="000000"/>
                <w:sz w:val="18"/>
                <w:szCs w:val="18"/>
              </w:rPr>
              <w:t>FE2</w:t>
            </w:r>
          </w:p>
        </w:tc>
        <w:tc>
          <w:tcPr>
            <w:tcW w:w="553" w:type="pct"/>
            <w:shd w:val="clear" w:color="auto" w:fill="AAB9C1"/>
            <w:tcMar>
              <w:top w:w="15" w:type="dxa"/>
              <w:left w:w="15" w:type="dxa"/>
              <w:bottom w:w="0" w:type="dxa"/>
              <w:right w:w="15" w:type="dxa"/>
            </w:tcMar>
            <w:vAlign w:val="bottom"/>
          </w:tcPr>
          <w:p w:rsidR="00EA09AE" w:rsidRPr="003E3F09" w:rsidRDefault="00EA09AE" w:rsidP="003E3F09">
            <w:pPr>
              <w:bidi/>
              <w:jc w:val="center"/>
              <w:rPr>
                <w:rFonts w:eastAsia="Times New Roman" w:cs="B Zar"/>
                <w:b/>
                <w:bCs/>
                <w:color w:val="000000"/>
                <w:sz w:val="18"/>
                <w:szCs w:val="18"/>
              </w:rPr>
            </w:pPr>
            <w:r w:rsidRPr="003E3F09">
              <w:rPr>
                <w:rFonts w:eastAsia="Times New Roman" w:cs="B Zar"/>
                <w:b/>
                <w:bCs/>
                <w:color w:val="000000"/>
                <w:sz w:val="18"/>
                <w:szCs w:val="18"/>
              </w:rPr>
              <w:t>FE3</w:t>
            </w:r>
          </w:p>
        </w:tc>
      </w:tr>
      <w:tr w:rsidR="00EA09AE" w:rsidRPr="003E3F09" w:rsidTr="00FF7E61">
        <w:trPr>
          <w:trHeight w:val="435"/>
          <w:jc w:val="center"/>
        </w:trPr>
        <w:tc>
          <w:tcPr>
            <w:tcW w:w="1135" w:type="pct"/>
            <w:shd w:val="clear" w:color="000000" w:fill="FFFFFF"/>
            <w:tcMar>
              <w:top w:w="15" w:type="dxa"/>
              <w:left w:w="15" w:type="dxa"/>
              <w:bottom w:w="0" w:type="dxa"/>
              <w:right w:w="15" w:type="dxa"/>
            </w:tcMar>
            <w:vAlign w:val="center"/>
            <w:hideMark/>
          </w:tcPr>
          <w:p w:rsidR="00EA09AE" w:rsidRPr="003E3F09" w:rsidRDefault="00EA09AE" w:rsidP="00EA09AE">
            <w:pPr>
              <w:rPr>
                <w:rFonts w:eastAsia="Times New Roman"/>
                <w:b/>
                <w:bCs/>
                <w:sz w:val="18"/>
                <w:szCs w:val="18"/>
              </w:rPr>
            </w:pPr>
            <w:r w:rsidRPr="003E3F09">
              <w:rPr>
                <w:rFonts w:eastAsia="Times New Roman"/>
                <w:b/>
                <w:bCs/>
                <w:sz w:val="18"/>
                <w:szCs w:val="18"/>
              </w:rPr>
              <w:t>Total</w:t>
            </w:r>
          </w:p>
        </w:tc>
        <w:tc>
          <w:tcPr>
            <w:tcW w:w="552" w:type="pct"/>
            <w:shd w:val="clear" w:color="000000" w:fill="FFFFFF"/>
            <w:tcMar>
              <w:top w:w="15" w:type="dxa"/>
              <w:left w:w="15" w:type="dxa"/>
              <w:bottom w:w="0" w:type="dxa"/>
              <w:right w:w="15" w:type="dxa"/>
            </w:tcMar>
            <w:vAlign w:val="center"/>
            <w:hideMark/>
          </w:tcPr>
          <w:p w:rsidR="00EA09AE" w:rsidRPr="003E3F09" w:rsidRDefault="00EA09AE" w:rsidP="00EA09AE">
            <w:pPr>
              <w:jc w:val="right"/>
              <w:rPr>
                <w:rFonts w:eastAsia="Times New Roman" w:cs="Calibri"/>
                <w:b/>
                <w:bCs/>
                <w:sz w:val="18"/>
                <w:szCs w:val="18"/>
              </w:rPr>
            </w:pPr>
            <w:r w:rsidRPr="003E3F09">
              <w:rPr>
                <w:rFonts w:eastAsia="Times New Roman" w:cs="Calibri"/>
                <w:b/>
                <w:bCs/>
                <w:sz w:val="18"/>
                <w:szCs w:val="18"/>
              </w:rPr>
              <w:t>356,453,442,148</w:t>
            </w:r>
          </w:p>
        </w:tc>
        <w:tc>
          <w:tcPr>
            <w:tcW w:w="552" w:type="pct"/>
            <w:shd w:val="clear" w:color="000000" w:fill="FFFFFF"/>
            <w:tcMar>
              <w:top w:w="15" w:type="dxa"/>
              <w:left w:w="15" w:type="dxa"/>
              <w:bottom w:w="0" w:type="dxa"/>
              <w:right w:w="15" w:type="dxa"/>
            </w:tcMar>
            <w:vAlign w:val="center"/>
            <w:hideMark/>
          </w:tcPr>
          <w:p w:rsidR="00EA09AE" w:rsidRPr="003E3F09" w:rsidRDefault="00EA09AE" w:rsidP="00EA09AE">
            <w:pPr>
              <w:jc w:val="right"/>
              <w:rPr>
                <w:rFonts w:eastAsia="Times New Roman" w:cs="Calibri"/>
                <w:b/>
                <w:bCs/>
                <w:sz w:val="18"/>
                <w:szCs w:val="18"/>
              </w:rPr>
            </w:pPr>
            <w:r w:rsidRPr="003E3F09">
              <w:rPr>
                <w:rFonts w:eastAsia="Times New Roman" w:cs="Calibri"/>
                <w:b/>
                <w:bCs/>
                <w:sz w:val="18"/>
                <w:szCs w:val="18"/>
              </w:rPr>
              <w:t>377,190,202,974</w:t>
            </w:r>
          </w:p>
        </w:tc>
        <w:tc>
          <w:tcPr>
            <w:tcW w:w="552" w:type="pct"/>
            <w:shd w:val="clear" w:color="000000" w:fill="FFFFFF"/>
            <w:tcMar>
              <w:top w:w="15" w:type="dxa"/>
              <w:left w:w="15" w:type="dxa"/>
              <w:bottom w:w="0" w:type="dxa"/>
              <w:right w:w="15" w:type="dxa"/>
            </w:tcMar>
            <w:vAlign w:val="center"/>
            <w:hideMark/>
          </w:tcPr>
          <w:p w:rsidR="00EA09AE" w:rsidRPr="003E3F09" w:rsidRDefault="00EA09AE" w:rsidP="00EA09AE">
            <w:pPr>
              <w:jc w:val="right"/>
              <w:rPr>
                <w:rFonts w:eastAsia="Times New Roman" w:cs="Calibri"/>
                <w:b/>
                <w:bCs/>
                <w:sz w:val="18"/>
                <w:szCs w:val="18"/>
              </w:rPr>
            </w:pPr>
            <w:r w:rsidRPr="003E3F09">
              <w:rPr>
                <w:rFonts w:eastAsia="Times New Roman" w:cs="Calibri"/>
                <w:b/>
                <w:bCs/>
                <w:sz w:val="18"/>
                <w:szCs w:val="18"/>
              </w:rPr>
              <w:t>280,716,512,933</w:t>
            </w:r>
          </w:p>
        </w:tc>
        <w:tc>
          <w:tcPr>
            <w:tcW w:w="552" w:type="pct"/>
            <w:shd w:val="clear" w:color="000000" w:fill="FFFFFF"/>
            <w:tcMar>
              <w:top w:w="15" w:type="dxa"/>
              <w:left w:w="15" w:type="dxa"/>
              <w:bottom w:w="0" w:type="dxa"/>
              <w:right w:w="15" w:type="dxa"/>
            </w:tcMar>
            <w:vAlign w:val="center"/>
            <w:hideMark/>
          </w:tcPr>
          <w:p w:rsidR="00EA09AE" w:rsidRPr="003E3F09" w:rsidRDefault="00EA09AE" w:rsidP="00EA09AE">
            <w:pPr>
              <w:jc w:val="right"/>
              <w:rPr>
                <w:rFonts w:eastAsia="Times New Roman" w:cs="Calibri"/>
                <w:b/>
                <w:bCs/>
                <w:sz w:val="18"/>
                <w:szCs w:val="18"/>
                <w:lang w:bidi="ps-AF"/>
              </w:rPr>
            </w:pPr>
            <w:r w:rsidRPr="003E3F09">
              <w:rPr>
                <w:rFonts w:eastAsia="Times New Roman" w:cs="Calibri"/>
                <w:b/>
                <w:bCs/>
                <w:sz w:val="18"/>
                <w:szCs w:val="18"/>
              </w:rPr>
              <w:t>399,417,934,93</w:t>
            </w:r>
            <w:r w:rsidRPr="003E3F09">
              <w:rPr>
                <w:rFonts w:eastAsia="Times New Roman" w:cs="Calibri"/>
                <w:b/>
                <w:bCs/>
                <w:sz w:val="18"/>
                <w:szCs w:val="18"/>
                <w:lang w:bidi="ps-AF"/>
              </w:rPr>
              <w:t>1</w:t>
            </w:r>
          </w:p>
        </w:tc>
        <w:tc>
          <w:tcPr>
            <w:tcW w:w="552" w:type="pct"/>
            <w:shd w:val="clear" w:color="000000" w:fill="FFFFFF"/>
            <w:tcMar>
              <w:top w:w="15" w:type="dxa"/>
              <w:left w:w="15" w:type="dxa"/>
              <w:bottom w:w="0" w:type="dxa"/>
              <w:right w:w="15" w:type="dxa"/>
            </w:tcMar>
            <w:vAlign w:val="center"/>
            <w:hideMark/>
          </w:tcPr>
          <w:p w:rsidR="00EA09AE" w:rsidRPr="003E3F09" w:rsidRDefault="00EA09AE" w:rsidP="00EA09AE">
            <w:pPr>
              <w:jc w:val="right"/>
              <w:rPr>
                <w:rFonts w:eastAsia="Times New Roman" w:cs="Calibri"/>
                <w:b/>
                <w:bCs/>
                <w:sz w:val="18"/>
                <w:szCs w:val="18"/>
              </w:rPr>
            </w:pPr>
            <w:r w:rsidRPr="003E3F09">
              <w:rPr>
                <w:rFonts w:eastAsia="Times New Roman" w:cs="Calibri"/>
                <w:b/>
                <w:bCs/>
                <w:sz w:val="18"/>
                <w:szCs w:val="18"/>
              </w:rPr>
              <w:t>417,797,327,878</w:t>
            </w:r>
          </w:p>
        </w:tc>
        <w:tc>
          <w:tcPr>
            <w:tcW w:w="552" w:type="pct"/>
            <w:shd w:val="clear" w:color="000000" w:fill="FFFFFF"/>
            <w:tcMar>
              <w:top w:w="15" w:type="dxa"/>
              <w:left w:w="15" w:type="dxa"/>
              <w:bottom w:w="0" w:type="dxa"/>
              <w:right w:w="15" w:type="dxa"/>
            </w:tcMar>
            <w:vAlign w:val="center"/>
            <w:hideMark/>
          </w:tcPr>
          <w:p w:rsidR="00EA09AE" w:rsidRPr="003E3F09" w:rsidRDefault="00EA09AE" w:rsidP="00EA09AE">
            <w:pPr>
              <w:jc w:val="right"/>
              <w:rPr>
                <w:rFonts w:eastAsia="Times New Roman" w:cs="Calibri"/>
                <w:b/>
                <w:bCs/>
                <w:sz w:val="18"/>
                <w:szCs w:val="18"/>
              </w:rPr>
            </w:pPr>
            <w:r w:rsidRPr="003E3F09">
              <w:rPr>
                <w:rFonts w:eastAsia="Times New Roman" w:cs="Calibri"/>
                <w:b/>
                <w:bCs/>
                <w:sz w:val="18"/>
                <w:szCs w:val="18"/>
              </w:rPr>
              <w:t>425,126,911,410</w:t>
            </w:r>
          </w:p>
        </w:tc>
        <w:tc>
          <w:tcPr>
            <w:tcW w:w="553" w:type="pct"/>
            <w:shd w:val="clear" w:color="000000" w:fill="FFFFFF"/>
            <w:tcMar>
              <w:top w:w="15" w:type="dxa"/>
              <w:left w:w="15" w:type="dxa"/>
              <w:bottom w:w="0" w:type="dxa"/>
              <w:right w:w="15" w:type="dxa"/>
            </w:tcMar>
            <w:vAlign w:val="center"/>
            <w:hideMark/>
          </w:tcPr>
          <w:p w:rsidR="00EA09AE" w:rsidRPr="003E3F09" w:rsidRDefault="00EA09AE" w:rsidP="00EA09AE">
            <w:pPr>
              <w:jc w:val="right"/>
              <w:rPr>
                <w:rFonts w:eastAsia="Times New Roman" w:cs="Calibri"/>
                <w:b/>
                <w:bCs/>
                <w:sz w:val="18"/>
                <w:szCs w:val="18"/>
              </w:rPr>
            </w:pPr>
            <w:r w:rsidRPr="003E3F09">
              <w:rPr>
                <w:rFonts w:eastAsia="Times New Roman" w:cs="Calibri"/>
                <w:b/>
                <w:bCs/>
                <w:sz w:val="18"/>
                <w:szCs w:val="18"/>
              </w:rPr>
              <w:t>430,129,904,158</w:t>
            </w:r>
          </w:p>
        </w:tc>
      </w:tr>
      <w:tr w:rsidR="00EA09AE" w:rsidRPr="003E3F09" w:rsidTr="00FF7E61">
        <w:trPr>
          <w:trHeight w:val="375"/>
          <w:jc w:val="center"/>
        </w:trPr>
        <w:tc>
          <w:tcPr>
            <w:tcW w:w="1135" w:type="pct"/>
            <w:shd w:val="clear" w:color="auto" w:fill="C6D9F8"/>
            <w:tcMar>
              <w:top w:w="15" w:type="dxa"/>
              <w:left w:w="15" w:type="dxa"/>
              <w:bottom w:w="0" w:type="dxa"/>
              <w:right w:w="15" w:type="dxa"/>
            </w:tcMar>
            <w:vAlign w:val="bottom"/>
            <w:hideMark/>
          </w:tcPr>
          <w:p w:rsidR="00EA09AE" w:rsidRPr="003E3F09" w:rsidRDefault="003E3F09" w:rsidP="00EA09AE">
            <w:pPr>
              <w:rPr>
                <w:rFonts w:eastAsia="Times New Roman"/>
                <w:sz w:val="18"/>
                <w:szCs w:val="18"/>
              </w:rPr>
            </w:pPr>
            <w:r>
              <w:rPr>
                <w:rFonts w:eastAsia="Times New Roman"/>
                <w:sz w:val="18"/>
                <w:szCs w:val="18"/>
              </w:rPr>
              <w:t>1</w:t>
            </w:r>
            <w:r w:rsidR="00EA09AE" w:rsidRPr="003E3F09">
              <w:rPr>
                <w:rFonts w:eastAsia="Times New Roman" w:cs="Calibri"/>
                <w:b/>
                <w:bCs/>
                <w:color w:val="000000"/>
                <w:sz w:val="18"/>
                <w:szCs w:val="18"/>
              </w:rPr>
              <w:t xml:space="preserve"> General public services</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45,372,408,502</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43,669,123,597</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32,880,099,032</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54,771,925,766</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57,315,011,246</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57,183,646,825</w:t>
            </w:r>
          </w:p>
        </w:tc>
        <w:tc>
          <w:tcPr>
            <w:tcW w:w="553"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56,410,400,328</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bidi/>
              <w:jc w:val="right"/>
              <w:rPr>
                <w:rFonts w:eastAsia="Times New Roman" w:cs="Times New Roman"/>
                <w:color w:val="000000"/>
                <w:sz w:val="18"/>
                <w:szCs w:val="18"/>
              </w:rPr>
            </w:pPr>
            <w:r w:rsidRPr="003E3F09">
              <w:rPr>
                <w:rFonts w:eastAsia="Times New Roman" w:cs="Times New Roman"/>
                <w:color w:val="000000"/>
                <w:sz w:val="18"/>
                <w:szCs w:val="18"/>
              </w:rPr>
              <w:t>11 Executive and legislative organs, financial and fiscal affairs, external affairs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41,911,381,522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28,241,629,143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27,183,248,796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40,951,853,025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43,579,281,442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44,151,043,977</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44,400,446,354</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bidi/>
              <w:jc w:val="right"/>
              <w:rPr>
                <w:rFonts w:eastAsia="Times New Roman" w:cs="Times New Roman"/>
                <w:color w:val="000000"/>
                <w:sz w:val="18"/>
                <w:szCs w:val="18"/>
              </w:rPr>
            </w:pPr>
            <w:r w:rsidRPr="003E3F09">
              <w:rPr>
                <w:rFonts w:eastAsia="Times New Roman" w:cs="Times New Roman"/>
                <w:color w:val="000000"/>
                <w:sz w:val="18"/>
                <w:szCs w:val="18"/>
              </w:rPr>
              <w:t>13 General services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2,730,763,037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14,706,874,577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4,758,474,507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12,768,169,771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12,626,081,331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11,862,686,542</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10,776,667,873</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bidi/>
              <w:jc w:val="right"/>
              <w:rPr>
                <w:rFonts w:eastAsia="Times New Roman" w:cs="Times New Roman"/>
                <w:color w:val="000000"/>
                <w:sz w:val="18"/>
                <w:szCs w:val="18"/>
              </w:rPr>
            </w:pPr>
            <w:r w:rsidRPr="003E3F09">
              <w:rPr>
                <w:rFonts w:eastAsia="Times New Roman" w:cs="Times New Roman"/>
                <w:color w:val="000000"/>
                <w:sz w:val="18"/>
                <w:szCs w:val="18"/>
              </w:rPr>
              <w:t>14 Basic research</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229,601,239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237,280,899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169,721,329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271,464,751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286,012,201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300,620,004</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315,724,205</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bidi/>
              <w:jc w:val="right"/>
              <w:rPr>
                <w:rFonts w:eastAsia="Times New Roman" w:cs="Times New Roman"/>
                <w:color w:val="000000"/>
                <w:sz w:val="18"/>
                <w:szCs w:val="18"/>
              </w:rPr>
            </w:pPr>
            <w:r w:rsidRPr="003E3F09">
              <w:rPr>
                <w:rFonts w:eastAsia="Times New Roman" w:cs="Times New Roman"/>
                <w:color w:val="000000"/>
                <w:sz w:val="18"/>
                <w:szCs w:val="18"/>
              </w:rPr>
              <w:t>16 General public services n.e.c.</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500,662,704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483,338,978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768,654,400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780,438,219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823,636,272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869,296,302</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917,561,896</w:t>
            </w:r>
          </w:p>
        </w:tc>
      </w:tr>
      <w:tr w:rsidR="00EA09AE" w:rsidRPr="003E3F09" w:rsidTr="00FF7E61">
        <w:trPr>
          <w:trHeight w:val="375"/>
          <w:jc w:val="center"/>
        </w:trPr>
        <w:tc>
          <w:tcPr>
            <w:tcW w:w="1135" w:type="pct"/>
            <w:shd w:val="clear" w:color="auto" w:fill="C6D9F8"/>
            <w:tcMar>
              <w:top w:w="15" w:type="dxa"/>
              <w:left w:w="15" w:type="dxa"/>
              <w:bottom w:w="0" w:type="dxa"/>
              <w:right w:w="15" w:type="dxa"/>
            </w:tcMar>
            <w:vAlign w:val="bottom"/>
            <w:hideMark/>
          </w:tcPr>
          <w:p w:rsidR="00EA09AE" w:rsidRPr="003E3F09" w:rsidRDefault="00EA09AE" w:rsidP="00EA09AE">
            <w:pPr>
              <w:rPr>
                <w:rFonts w:eastAsia="Times New Roman" w:cs="Calibri"/>
                <w:b/>
                <w:bCs/>
                <w:color w:val="000000"/>
                <w:sz w:val="18"/>
                <w:szCs w:val="18"/>
              </w:rPr>
            </w:pPr>
            <w:r w:rsidRPr="003E3F09">
              <w:rPr>
                <w:rFonts w:eastAsia="Times New Roman" w:cs="Calibri"/>
                <w:b/>
                <w:bCs/>
                <w:color w:val="000000"/>
                <w:sz w:val="18"/>
                <w:szCs w:val="18"/>
              </w:rPr>
              <w:t>2 Defense</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76,660,019,638</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80,483,201,715</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67,124,789,978</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100,304,831,009</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105,975,901,820</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111,945,244,562</w:t>
            </w:r>
          </w:p>
        </w:tc>
        <w:tc>
          <w:tcPr>
            <w:tcW w:w="553"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118,247,310,205</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21 Military defense</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58,798,112,045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62,218,042,773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center"/>
              <w:rPr>
                <w:rFonts w:eastAsia="Times New Roman"/>
                <w:b/>
                <w:bCs/>
                <w:sz w:val="18"/>
                <w:szCs w:val="18"/>
              </w:rPr>
            </w:pPr>
            <w:r w:rsidRPr="003E3F09">
              <w:rPr>
                <w:rFonts w:eastAsia="Times New Roman"/>
                <w:b/>
                <w:bCs/>
                <w:sz w:val="18"/>
                <w:szCs w:val="18"/>
              </w:rPr>
              <w:t>47,538,509,841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78,840,354,009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83,338,775,660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88,095,219,929</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93,126,939,173</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25 Defense n.e.c.</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17,861,907,593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18,265,158,942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19,586,280,137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21,464,477,000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22,637,126,160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23,850,024,633</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25,120,371,032</w:t>
            </w:r>
          </w:p>
        </w:tc>
      </w:tr>
      <w:tr w:rsidR="00EA09AE" w:rsidRPr="003E3F09" w:rsidTr="00FF7E61">
        <w:trPr>
          <w:trHeight w:val="375"/>
          <w:jc w:val="center"/>
        </w:trPr>
        <w:tc>
          <w:tcPr>
            <w:tcW w:w="1135" w:type="pct"/>
            <w:shd w:val="clear" w:color="auto" w:fill="C6D9F8"/>
            <w:tcMar>
              <w:top w:w="15" w:type="dxa"/>
              <w:left w:w="15" w:type="dxa"/>
              <w:bottom w:w="0" w:type="dxa"/>
              <w:right w:w="15" w:type="dxa"/>
            </w:tcMar>
            <w:vAlign w:val="bottom"/>
            <w:hideMark/>
          </w:tcPr>
          <w:p w:rsidR="00EA09AE" w:rsidRPr="003E3F09" w:rsidRDefault="00EA09AE" w:rsidP="00EA09AE">
            <w:pPr>
              <w:rPr>
                <w:rFonts w:eastAsia="Times New Roman" w:cs="Calibri"/>
                <w:b/>
                <w:bCs/>
                <w:color w:val="000000"/>
                <w:sz w:val="18"/>
                <w:szCs w:val="18"/>
              </w:rPr>
            </w:pPr>
            <w:r w:rsidRPr="003E3F09">
              <w:rPr>
                <w:rFonts w:eastAsia="Times New Roman" w:cs="Calibri"/>
                <w:b/>
                <w:bCs/>
                <w:color w:val="000000"/>
                <w:sz w:val="18"/>
                <w:szCs w:val="18"/>
              </w:rPr>
              <w:t>3 Public order and safety</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66,517,206,154</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65,855,837,713</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43,819,650,071</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63,330,645,804</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66,810,990,922</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70,448,280,654</w:t>
            </w:r>
          </w:p>
        </w:tc>
        <w:tc>
          <w:tcPr>
            <w:tcW w:w="553"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74,264,809,551</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31 Police services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57,163,593,443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56,032,940,899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37,433,869,825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55,332,800,025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58,379,021,269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61,576,916,210</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64,937,431,700</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32 Fire-protection services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768,335,517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144,060,016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437,027,275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143,452,800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150,919,726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158,790,001</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167,086,107</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33 Law courts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6,985,145,770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7,216,106,051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5,948,752,971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7,854,392,979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8,281,049,927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8,712,574,442</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9,160,291,743</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34 Prisons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1,600,131,424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2,462,730,747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r>
      <w:tr w:rsidR="00EA09AE" w:rsidRPr="003E3F09" w:rsidTr="00FF7E61">
        <w:trPr>
          <w:trHeight w:val="375"/>
          <w:jc w:val="center"/>
        </w:trPr>
        <w:tc>
          <w:tcPr>
            <w:tcW w:w="1135" w:type="pct"/>
            <w:shd w:val="clear" w:color="auto" w:fill="C6D9F8"/>
            <w:tcMar>
              <w:top w:w="15" w:type="dxa"/>
              <w:left w:w="15" w:type="dxa"/>
              <w:bottom w:w="0" w:type="dxa"/>
              <w:right w:w="15" w:type="dxa"/>
            </w:tcMar>
            <w:vAlign w:val="bottom"/>
            <w:hideMark/>
          </w:tcPr>
          <w:p w:rsidR="00EA09AE" w:rsidRPr="003E3F09" w:rsidRDefault="00EA09AE" w:rsidP="00EA09AE">
            <w:pPr>
              <w:rPr>
                <w:rFonts w:eastAsia="Times New Roman" w:cs="Calibri"/>
                <w:b/>
                <w:bCs/>
                <w:color w:val="000000"/>
                <w:sz w:val="18"/>
                <w:szCs w:val="18"/>
              </w:rPr>
            </w:pPr>
            <w:r w:rsidRPr="003E3F09">
              <w:rPr>
                <w:rFonts w:eastAsia="Times New Roman" w:cs="Calibri"/>
                <w:b/>
                <w:bCs/>
                <w:color w:val="000000"/>
                <w:sz w:val="18"/>
                <w:szCs w:val="18"/>
              </w:rPr>
              <w:t>4 Economic affairs</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67,259,690,942</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60,127,060,003</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55,147,344,772</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67,850,533,538</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66,904,211,645</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62,511,036,021</w:t>
            </w:r>
          </w:p>
        </w:tc>
        <w:tc>
          <w:tcPr>
            <w:tcW w:w="553"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56,322,970,568</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41 General economic, commercial and labor affairs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2,939,083,525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3,920,051,810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2,700,344,539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3,329,110,324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3,373,145,432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3,319,734,568</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3,217,729,362</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42 Agriculture, forestry, fishing and hunting</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15,996,260,340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15,593,741,380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11,199,244,893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15,775,667,030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15,604,428,094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14,667,673,716</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13,333,568,307</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lastRenderedPageBreak/>
              <w:t>43 Fuel and energy</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11,511,300,584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8,722,993,422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7,711,499,966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15,384,957,612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15,064,388,752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13,878,039,369</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12,238,349,143</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44 Mining, manufacturing and construction</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634,310,669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580,008,279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434,886,944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1,063,209,754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1,072,436,522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1,046,816,883</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1,003,615,876</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45 Transport</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28,412,211,766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25,685,076,640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22,766,800,779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23,733,944,389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23,345,394,544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21,708,805,857</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19,420,810,399</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46 Communication</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1,805,269,346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2,303,647,472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1,391,949,991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4,361,945,000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4,315,300,623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4,058,260,853</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3,692,000,564</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47 Other industries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5,266,720,095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2,308,740,796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8,571,398,077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3,721,148,980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3,641,153,495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3,349,878,002</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2,947,915,518</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48 R&amp;D Economic affairs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694,534,617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1,012,800,204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371,219,583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480,550,448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487,964,183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481,826,773</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468,981,399</w:t>
            </w:r>
          </w:p>
        </w:tc>
      </w:tr>
      <w:tr w:rsidR="00EA09AE" w:rsidRPr="003E3F09" w:rsidTr="00FF7E61">
        <w:trPr>
          <w:trHeight w:val="375"/>
          <w:jc w:val="center"/>
        </w:trPr>
        <w:tc>
          <w:tcPr>
            <w:tcW w:w="1135" w:type="pct"/>
            <w:shd w:val="clear" w:color="auto" w:fill="C6D9F8"/>
            <w:tcMar>
              <w:top w:w="15" w:type="dxa"/>
              <w:left w:w="15" w:type="dxa"/>
              <w:bottom w:w="0" w:type="dxa"/>
              <w:right w:w="15" w:type="dxa"/>
            </w:tcMar>
            <w:vAlign w:val="bottom"/>
            <w:hideMark/>
          </w:tcPr>
          <w:p w:rsidR="00EA09AE" w:rsidRPr="003E3F09" w:rsidRDefault="00EA09AE" w:rsidP="00EA09AE">
            <w:pPr>
              <w:rPr>
                <w:rFonts w:eastAsia="Times New Roman" w:cs="Calibri"/>
                <w:b/>
                <w:bCs/>
                <w:color w:val="000000"/>
                <w:sz w:val="18"/>
                <w:szCs w:val="18"/>
              </w:rPr>
            </w:pPr>
            <w:r w:rsidRPr="003E3F09">
              <w:rPr>
                <w:rFonts w:eastAsia="Times New Roman" w:cs="Calibri"/>
                <w:b/>
                <w:bCs/>
                <w:color w:val="000000"/>
                <w:sz w:val="18"/>
                <w:szCs w:val="18"/>
              </w:rPr>
              <w:t>5 Environmental protection</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1,372,874,195</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661,946,416</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440,392,660</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491,207,391</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499,136,726</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493,658,250</w:t>
            </w:r>
          </w:p>
        </w:tc>
        <w:tc>
          <w:tcPr>
            <w:tcW w:w="553"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481,556,529</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51 Waste  management</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6,700,000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20,000,000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19,570,000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18,004,400</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15,843,872</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53 Pollution abatement</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26,136,400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6,790,771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4,535,319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7,155,034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7,543,429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7,953,572</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8,386,713</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54 Protection of biodiversity and landscape</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1,257,668,303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505,315,241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366,859,588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322,580,879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327,695,526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323,895,675</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315,689,262</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56 Environmental protection n.e.c.</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89,069,492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143,140,404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68,997,753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141,471,478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144,327,771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143,804,602</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141,636,682</w:t>
            </w:r>
          </w:p>
        </w:tc>
      </w:tr>
      <w:tr w:rsidR="00EA09AE" w:rsidRPr="003E3F09" w:rsidTr="00FF7E61">
        <w:trPr>
          <w:trHeight w:val="375"/>
          <w:jc w:val="center"/>
        </w:trPr>
        <w:tc>
          <w:tcPr>
            <w:tcW w:w="1135" w:type="pct"/>
            <w:shd w:val="clear" w:color="auto" w:fill="C6D9F8"/>
            <w:tcMar>
              <w:top w:w="15" w:type="dxa"/>
              <w:left w:w="15" w:type="dxa"/>
              <w:bottom w:w="0" w:type="dxa"/>
              <w:right w:w="15" w:type="dxa"/>
            </w:tcMar>
            <w:vAlign w:val="bottom"/>
            <w:hideMark/>
          </w:tcPr>
          <w:p w:rsidR="00EA09AE" w:rsidRPr="003E3F09" w:rsidRDefault="00EA09AE" w:rsidP="00EA09AE">
            <w:pPr>
              <w:rPr>
                <w:rFonts w:eastAsia="Times New Roman" w:cs="Calibri"/>
                <w:b/>
                <w:bCs/>
                <w:color w:val="000000"/>
                <w:sz w:val="18"/>
                <w:szCs w:val="18"/>
              </w:rPr>
            </w:pPr>
            <w:r w:rsidRPr="003E3F09">
              <w:rPr>
                <w:rFonts w:eastAsia="Times New Roman" w:cs="Calibri"/>
                <w:b/>
                <w:bCs/>
                <w:color w:val="000000"/>
                <w:sz w:val="18"/>
                <w:szCs w:val="18"/>
              </w:rPr>
              <w:t>6 Housing and community amenities</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7,915,388,018</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8,314,306,464</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4,744,871,500</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8,279,333,663</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8,131,911,781</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7,538,639,808</w:t>
            </w:r>
          </w:p>
        </w:tc>
        <w:tc>
          <w:tcPr>
            <w:tcW w:w="553"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6,712,444,195</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61 Housing development</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2,166,971,397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1,485,395,341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1,248,740,199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354,729,816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348,616,589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323,543,637</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288,570,761</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62 Community development</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4,615,246,871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3,323,116,984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1,753,175,011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4,626,011,358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4,534,107,438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4,185,792,891</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3,703,295,356</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63 Water supply</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180,747,035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620,236,340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301,817,585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536,133,912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524,676,768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482,844,139</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425,099,073</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66 Housing and community amenities n.e.c.</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952,422,715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2,885,557,799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1,441,138,705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2,762,458,577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2,724,510,985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2,546,459,142</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2,295,479,005</w:t>
            </w:r>
          </w:p>
        </w:tc>
      </w:tr>
      <w:tr w:rsidR="00EA09AE" w:rsidRPr="003E3F09" w:rsidTr="00FF7E61">
        <w:trPr>
          <w:trHeight w:val="375"/>
          <w:jc w:val="center"/>
        </w:trPr>
        <w:tc>
          <w:tcPr>
            <w:tcW w:w="1135" w:type="pct"/>
            <w:shd w:val="clear" w:color="auto" w:fill="C6D9F8"/>
            <w:tcMar>
              <w:top w:w="15" w:type="dxa"/>
              <w:left w:w="15" w:type="dxa"/>
              <w:bottom w:w="0" w:type="dxa"/>
              <w:right w:w="15" w:type="dxa"/>
            </w:tcMar>
            <w:vAlign w:val="bottom"/>
            <w:hideMark/>
          </w:tcPr>
          <w:p w:rsidR="00EA09AE" w:rsidRPr="003E3F09" w:rsidRDefault="00EA09AE" w:rsidP="00EA09AE">
            <w:pPr>
              <w:rPr>
                <w:rFonts w:eastAsia="Times New Roman" w:cs="Calibri"/>
                <w:b/>
                <w:bCs/>
                <w:color w:val="000000"/>
                <w:sz w:val="18"/>
                <w:szCs w:val="18"/>
              </w:rPr>
            </w:pPr>
            <w:r w:rsidRPr="003E3F09">
              <w:rPr>
                <w:rFonts w:eastAsia="Times New Roman" w:cs="Calibri"/>
                <w:b/>
                <w:bCs/>
                <w:color w:val="000000"/>
                <w:sz w:val="18"/>
                <w:szCs w:val="18"/>
              </w:rPr>
              <w:t>7 Health</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18,760,338,027</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15,038,486,413</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15,371,886,940</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17,365,523,313</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17,307,577,454</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16,513,590,303</w:t>
            </w:r>
          </w:p>
        </w:tc>
        <w:tc>
          <w:tcPr>
            <w:tcW w:w="553"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15,340,669,693</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72 Outpatient services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12,448,710,005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9,572,368,659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10,810,583,994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11,268,758,940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11,131,433,419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10,433,573,070</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9,444,464,686</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73 Hospital services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798,886,513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762,385,351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717,698,053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726,989,325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711,359,054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654,450,330</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575,916,291</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lastRenderedPageBreak/>
              <w:t>74 Public health services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162,103,054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227,468,013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142,254,308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164,592,705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167,945,354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167,582,144</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165,409,644</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76 Health n.e.c.</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5,350,638,455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4,476,264,390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3,701,350,585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5,205,182,344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5,296,839,627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5,257,984,759</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5,154,879,073</w:t>
            </w:r>
          </w:p>
        </w:tc>
      </w:tr>
      <w:tr w:rsidR="00EA09AE" w:rsidRPr="003E3F09" w:rsidTr="00FF7E61">
        <w:trPr>
          <w:trHeight w:val="375"/>
          <w:jc w:val="center"/>
        </w:trPr>
        <w:tc>
          <w:tcPr>
            <w:tcW w:w="1135" w:type="pct"/>
            <w:shd w:val="clear" w:color="auto" w:fill="C6D9F8"/>
            <w:tcMar>
              <w:top w:w="15" w:type="dxa"/>
              <w:left w:w="15" w:type="dxa"/>
              <w:bottom w:w="0" w:type="dxa"/>
              <w:right w:w="15" w:type="dxa"/>
            </w:tcMar>
            <w:vAlign w:val="bottom"/>
            <w:hideMark/>
          </w:tcPr>
          <w:p w:rsidR="00EA09AE" w:rsidRPr="003E3F09" w:rsidRDefault="00EA09AE" w:rsidP="00EA09AE">
            <w:pPr>
              <w:rPr>
                <w:rFonts w:eastAsia="Times New Roman" w:cs="Calibri"/>
                <w:b/>
                <w:bCs/>
                <w:color w:val="000000"/>
                <w:sz w:val="18"/>
                <w:szCs w:val="18"/>
              </w:rPr>
            </w:pPr>
            <w:r w:rsidRPr="003E3F09">
              <w:rPr>
                <w:rFonts w:eastAsia="Times New Roman" w:cs="Calibri"/>
                <w:b/>
                <w:bCs/>
                <w:color w:val="000000"/>
                <w:sz w:val="18"/>
                <w:szCs w:val="18"/>
              </w:rPr>
              <w:t>8 Recreation, culture and religion</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3,065,973,412</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3,108,177,534</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2,102,630,636</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3,272,592,679</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3,389,499,243</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3,467,761,551</w:t>
            </w:r>
          </w:p>
        </w:tc>
        <w:tc>
          <w:tcPr>
            <w:tcW w:w="553"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3,529,801,974</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81 Recreational and sporting services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395,153,084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378,280,961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196,709,058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379,128,478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390,284,946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396,640,547</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400,820,420</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82 Cultural services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348,248,556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329,864,262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173,974,175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356,751,341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359,003,113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348,665,871</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331,952,858</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83 Broadcasting and publishing services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749,396,293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691,735,478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553,715,878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708,564,858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737,063,996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759,884,900</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780,661,458</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84 Religious and other community services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1,568,324,468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1,691,927,934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1,171,293,411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1,826,593,002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1,901,625,621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1,961,170,390</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2,015,135,378</w:t>
            </w:r>
          </w:p>
        </w:tc>
      </w:tr>
      <w:tr w:rsidR="00EA09AE" w:rsidRPr="003E3F09" w:rsidTr="00FF7E61">
        <w:trPr>
          <w:trHeight w:val="630"/>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85 R&amp;D Recreation, culture and religion</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4,851,011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16,368,899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6,938,114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1,555,000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1,521,567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1,399,842</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1,231,861</w:t>
            </w:r>
          </w:p>
        </w:tc>
      </w:tr>
      <w:tr w:rsidR="00EA09AE" w:rsidRPr="003E3F09" w:rsidTr="00FF7E61">
        <w:trPr>
          <w:trHeight w:val="375"/>
          <w:jc w:val="center"/>
        </w:trPr>
        <w:tc>
          <w:tcPr>
            <w:tcW w:w="1135" w:type="pct"/>
            <w:shd w:val="clear" w:color="auto" w:fill="C6D9F8"/>
            <w:tcMar>
              <w:top w:w="15" w:type="dxa"/>
              <w:left w:w="15" w:type="dxa"/>
              <w:bottom w:w="0" w:type="dxa"/>
              <w:right w:w="15" w:type="dxa"/>
            </w:tcMar>
            <w:vAlign w:val="bottom"/>
            <w:hideMark/>
          </w:tcPr>
          <w:p w:rsidR="00EA09AE" w:rsidRPr="003E3F09" w:rsidRDefault="00EA09AE" w:rsidP="00EA09AE">
            <w:pPr>
              <w:rPr>
                <w:rFonts w:eastAsia="Times New Roman" w:cs="Calibri"/>
                <w:b/>
                <w:bCs/>
                <w:color w:val="000000"/>
                <w:sz w:val="18"/>
                <w:szCs w:val="18"/>
              </w:rPr>
            </w:pPr>
            <w:r w:rsidRPr="003E3F09">
              <w:rPr>
                <w:rFonts w:eastAsia="Times New Roman" w:cs="Calibri"/>
                <w:b/>
                <w:bCs/>
                <w:color w:val="000000"/>
                <w:sz w:val="18"/>
                <w:szCs w:val="18"/>
              </w:rPr>
              <w:t>9 Education</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46,303,337,459</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51,470,183,116</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35,339,299,462</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50,656,109,859</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53,507,438,410</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55,754,852,042</w:t>
            </w:r>
          </w:p>
        </w:tc>
        <w:tc>
          <w:tcPr>
            <w:tcW w:w="553"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57,973,621,937</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91 Pre-primary and primary education</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21,353,307,288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24,054,234,316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17,369,057,423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22,278,327,491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23,492,191,617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24,710,223,420</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25,969,790,446</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92 Secondary education</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71,871,147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87,379,768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65,476,308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69,185,727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73,215,567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77,463,341</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81,953,056</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93 Post-secondary non-tertiary education</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254,582,168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207,692,944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124,364,920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191,586,108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200,131,572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207,300,088</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214,041,308</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94 Tertiary education</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7,228,154,063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7,782,527,664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5,232,257,241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8,238,678,220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8,491,032,690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8,615,250,346</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8,681,456,480</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95 Education not definable by level</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3,875,181,366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4,574,194,513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2,426,045,874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6,389,488,805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6,998,795,939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7,098,456,660</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7,145,827,725</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96 Subsidiary services to education</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56,098,865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31,475,220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27,592,508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29,621,794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31,134,582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32,727,556</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34,405,104</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97 R&amp;D Education</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952,804,272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566,094,888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388,348,631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582,873,104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615,967,870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650,830,997</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687,648,825</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98 Education n.e.c.</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12,511,338,290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14,166,583,803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9,706,156,557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12,876,348,610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13,604,968,574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14,362,599,635</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15,158,498,994</w:t>
            </w:r>
          </w:p>
        </w:tc>
      </w:tr>
      <w:tr w:rsidR="00EA09AE" w:rsidRPr="003E3F09" w:rsidTr="00FF7E61">
        <w:trPr>
          <w:trHeight w:val="375"/>
          <w:jc w:val="center"/>
        </w:trPr>
        <w:tc>
          <w:tcPr>
            <w:tcW w:w="1135" w:type="pct"/>
            <w:shd w:val="clear" w:color="auto" w:fill="C6D9F8"/>
            <w:tcMar>
              <w:top w:w="15" w:type="dxa"/>
              <w:left w:w="15" w:type="dxa"/>
              <w:bottom w:w="0" w:type="dxa"/>
              <w:right w:w="15" w:type="dxa"/>
            </w:tcMar>
            <w:vAlign w:val="bottom"/>
            <w:hideMark/>
          </w:tcPr>
          <w:p w:rsidR="00EA09AE" w:rsidRPr="003E3F09" w:rsidRDefault="00EA09AE" w:rsidP="00EA09AE">
            <w:pPr>
              <w:rPr>
                <w:rFonts w:eastAsia="Times New Roman" w:cs="Calibri"/>
                <w:b/>
                <w:bCs/>
                <w:color w:val="000000"/>
                <w:sz w:val="18"/>
                <w:szCs w:val="18"/>
              </w:rPr>
            </w:pPr>
            <w:r w:rsidRPr="003E3F09">
              <w:rPr>
                <w:rFonts w:eastAsia="Times New Roman" w:cs="Calibri"/>
                <w:b/>
                <w:bCs/>
                <w:color w:val="000000"/>
                <w:sz w:val="18"/>
                <w:szCs w:val="18"/>
              </w:rPr>
              <w:t>10 Social Protection</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23,226,205,801</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24,794,714,855</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23,745,547,882</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15,083,175,626</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21,535,343,603</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22,975,001,369</w:t>
            </w:r>
          </w:p>
        </w:tc>
        <w:tc>
          <w:tcPr>
            <w:tcW w:w="553"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24,508,127,479</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lastRenderedPageBreak/>
              <w:t>101 Sickness and Disability</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3,067,876,454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1,037,531,087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102 Old age</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5,904,542,137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19,467,061,513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9,384,232,633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5,942,973,404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8,439,315,993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9,015,190,696</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9,628,939,130</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103 Survivors</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2,160,086,690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1,014,151,566</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104 Family and children</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391,706,699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448,700,898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326,042,527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7,550,137,454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11,429,178,309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12,217,932,482</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13,060,873,974</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105 Unemployment</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13,612,869</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16,028,904</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6,719,623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31,537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33,405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35,385</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37,482</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107 Social Exclusion N.E.C.</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257,598,028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162,825,871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76,004,333</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137,039,892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137,044,898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131,637,339</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123,455,135</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108 R&amp;D Social Protection</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10,963,458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6,061,211</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r>
      <w:tr w:rsidR="00EA09AE" w:rsidRPr="003E3F09" w:rsidTr="00FF7E61">
        <w:trPr>
          <w:trHeight w:val="375"/>
          <w:jc w:val="center"/>
        </w:trPr>
        <w:tc>
          <w:tcPr>
            <w:tcW w:w="1135" w:type="pct"/>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109 Social protection n.e.c.</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14,487,695,920</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1,632,221,215</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11,894,804,902</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1,452,993,338</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1,529,770,997</w:t>
            </w:r>
          </w:p>
        </w:tc>
        <w:tc>
          <w:tcPr>
            <w:tcW w:w="552"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1,610,205,467</w:t>
            </w:r>
          </w:p>
        </w:tc>
        <w:tc>
          <w:tcPr>
            <w:tcW w:w="553" w:type="pct"/>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1,694,821,759</w:t>
            </w:r>
          </w:p>
        </w:tc>
      </w:tr>
      <w:tr w:rsidR="00EA09AE" w:rsidRPr="003E3F09" w:rsidTr="00FF7E61">
        <w:trPr>
          <w:trHeight w:val="375"/>
          <w:jc w:val="center"/>
        </w:trPr>
        <w:tc>
          <w:tcPr>
            <w:tcW w:w="1135" w:type="pct"/>
            <w:shd w:val="clear" w:color="auto" w:fill="C6D9F8"/>
            <w:tcMar>
              <w:top w:w="15" w:type="dxa"/>
              <w:left w:w="15" w:type="dxa"/>
              <w:bottom w:w="0" w:type="dxa"/>
              <w:right w:w="15" w:type="dxa"/>
            </w:tcMar>
            <w:vAlign w:val="bottom"/>
            <w:hideMark/>
          </w:tcPr>
          <w:p w:rsidR="00EA09AE" w:rsidRPr="003E3F09" w:rsidRDefault="00EA09AE" w:rsidP="00EA09AE">
            <w:pPr>
              <w:rPr>
                <w:rFonts w:eastAsia="Times New Roman" w:cs="Calibri"/>
                <w:b/>
                <w:bCs/>
                <w:color w:val="000000"/>
                <w:sz w:val="18"/>
                <w:szCs w:val="18"/>
              </w:rPr>
            </w:pPr>
            <w:r w:rsidRPr="003E3F09">
              <w:rPr>
                <w:rFonts w:eastAsia="Times New Roman" w:cs="Calibri"/>
                <w:b/>
                <w:bCs/>
                <w:color w:val="000000"/>
                <w:sz w:val="18"/>
                <w:szCs w:val="18"/>
              </w:rPr>
              <w:t>99 Un Allocated</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23,667,165,148</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18,012,056,283</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16,420,305,030</w:t>
            </w:r>
          </w:p>
        </w:tc>
        <w:tc>
          <w:tcPr>
            <w:tcW w:w="552"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16,295,200,024</w:t>
            </w:r>
          </w:p>
        </w:tc>
        <w:tc>
          <w:tcPr>
            <w:tcW w:w="553" w:type="pct"/>
            <w:shd w:val="clear" w:color="auto" w:fill="C6D9F8"/>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16,338,191,700</w:t>
            </w:r>
          </w:p>
        </w:tc>
      </w:tr>
      <w:tr w:rsidR="00EA09AE" w:rsidRPr="003E3F09" w:rsidTr="00FF7E61">
        <w:trPr>
          <w:trHeight w:val="390"/>
          <w:jc w:val="center"/>
        </w:trPr>
        <w:tc>
          <w:tcPr>
            <w:tcW w:w="1135" w:type="pct"/>
            <w:tcBorders>
              <w:bottom w:val="single" w:sz="4" w:space="0" w:color="auto"/>
            </w:tcBorders>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color w:val="000000"/>
                <w:sz w:val="18"/>
                <w:szCs w:val="18"/>
              </w:rPr>
            </w:pPr>
            <w:r w:rsidRPr="003E3F09">
              <w:rPr>
                <w:rFonts w:eastAsia="Times New Roman" w:cs="Calibri"/>
                <w:color w:val="000000"/>
                <w:sz w:val="18"/>
                <w:szCs w:val="18"/>
              </w:rPr>
              <w:t>999 Un Allocated</w:t>
            </w:r>
          </w:p>
        </w:tc>
        <w:tc>
          <w:tcPr>
            <w:tcW w:w="552" w:type="pct"/>
            <w:tcBorders>
              <w:bottom w:val="single" w:sz="4" w:space="0" w:color="auto"/>
            </w:tcBorders>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tcBorders>
              <w:bottom w:val="single" w:sz="4" w:space="0" w:color="auto"/>
            </w:tcBorders>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23,667,165,148</w:t>
            </w:r>
          </w:p>
        </w:tc>
        <w:tc>
          <w:tcPr>
            <w:tcW w:w="552" w:type="pct"/>
            <w:tcBorders>
              <w:bottom w:val="single" w:sz="4" w:space="0" w:color="auto"/>
            </w:tcBorders>
            <w:shd w:val="clear" w:color="000000" w:fill="FFFFFF"/>
            <w:tcMar>
              <w:top w:w="15" w:type="dxa"/>
              <w:left w:w="15" w:type="dxa"/>
              <w:bottom w:w="0" w:type="dxa"/>
              <w:right w:w="15" w:type="dxa"/>
            </w:tcMar>
            <w:vAlign w:val="bottom"/>
            <w:hideMark/>
          </w:tcPr>
          <w:p w:rsidR="00EA09AE" w:rsidRPr="003E3F09" w:rsidRDefault="00EA09AE" w:rsidP="00EA09AE">
            <w:pPr>
              <w:rPr>
                <w:rFonts w:eastAsia="Times New Roman" w:cs="Calibri"/>
                <w:sz w:val="18"/>
                <w:szCs w:val="18"/>
              </w:rPr>
            </w:pPr>
            <w:r w:rsidRPr="003E3F09">
              <w:rPr>
                <w:rFonts w:eastAsia="Times New Roman" w:cs="Calibri"/>
                <w:sz w:val="18"/>
                <w:szCs w:val="18"/>
              </w:rPr>
              <w:t> </w:t>
            </w:r>
          </w:p>
        </w:tc>
        <w:tc>
          <w:tcPr>
            <w:tcW w:w="552" w:type="pct"/>
            <w:tcBorders>
              <w:bottom w:val="single" w:sz="4" w:space="0" w:color="auto"/>
            </w:tcBorders>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18,012,056,283</w:t>
            </w:r>
          </w:p>
        </w:tc>
        <w:tc>
          <w:tcPr>
            <w:tcW w:w="552" w:type="pct"/>
            <w:tcBorders>
              <w:bottom w:val="single" w:sz="4" w:space="0" w:color="auto"/>
            </w:tcBorders>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16,420,305,030</w:t>
            </w:r>
          </w:p>
        </w:tc>
        <w:tc>
          <w:tcPr>
            <w:tcW w:w="552" w:type="pct"/>
            <w:tcBorders>
              <w:bottom w:val="single" w:sz="4" w:space="0" w:color="auto"/>
            </w:tcBorders>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16,295,200,024</w:t>
            </w:r>
          </w:p>
        </w:tc>
        <w:tc>
          <w:tcPr>
            <w:tcW w:w="553" w:type="pct"/>
            <w:tcBorders>
              <w:bottom w:val="single" w:sz="4" w:space="0" w:color="auto"/>
            </w:tcBorders>
            <w:shd w:val="clear" w:color="000000" w:fill="FFFFFF"/>
            <w:tcMar>
              <w:top w:w="15" w:type="dxa"/>
              <w:left w:w="15" w:type="dxa"/>
              <w:bottom w:w="0" w:type="dxa"/>
              <w:right w:w="15" w:type="dxa"/>
            </w:tcMar>
            <w:vAlign w:val="bottom"/>
            <w:hideMark/>
          </w:tcPr>
          <w:p w:rsidR="00EA09AE" w:rsidRPr="003E3F09" w:rsidRDefault="00EA09AE" w:rsidP="00EA09AE">
            <w:pPr>
              <w:jc w:val="right"/>
              <w:rPr>
                <w:rFonts w:eastAsia="Times New Roman" w:cs="Calibri"/>
                <w:sz w:val="18"/>
                <w:szCs w:val="18"/>
              </w:rPr>
            </w:pPr>
            <w:r w:rsidRPr="003E3F09">
              <w:rPr>
                <w:rFonts w:eastAsia="Times New Roman" w:cs="Calibri"/>
                <w:sz w:val="18"/>
                <w:szCs w:val="18"/>
              </w:rPr>
              <w:t>16,338,191,700</w:t>
            </w:r>
          </w:p>
        </w:tc>
      </w:tr>
      <w:tr w:rsidR="00EA09AE" w:rsidRPr="003E3F09" w:rsidTr="00FF7E61">
        <w:trPr>
          <w:trHeight w:val="390"/>
          <w:jc w:val="center"/>
        </w:trPr>
        <w:tc>
          <w:tcPr>
            <w:tcW w:w="5000" w:type="pct"/>
            <w:gridSpan w:val="8"/>
            <w:tcBorders>
              <w:top w:val="single" w:sz="4" w:space="0" w:color="auto"/>
              <w:bottom w:val="single" w:sz="8" w:space="0" w:color="000000"/>
            </w:tcBorders>
            <w:shd w:val="clear" w:color="000000" w:fill="FFFFFF"/>
            <w:tcMar>
              <w:top w:w="15" w:type="dxa"/>
              <w:left w:w="15" w:type="dxa"/>
              <w:bottom w:w="0" w:type="dxa"/>
              <w:right w:w="15" w:type="dxa"/>
            </w:tcMar>
            <w:vAlign w:val="bottom"/>
          </w:tcPr>
          <w:p w:rsidR="00EA09AE" w:rsidRPr="003E3F09" w:rsidRDefault="00EA09AE" w:rsidP="00EA09AE">
            <w:pPr>
              <w:rPr>
                <w:rFonts w:eastAsia="Times New Roman"/>
                <w:sz w:val="18"/>
                <w:szCs w:val="18"/>
              </w:rPr>
            </w:pPr>
            <w:r w:rsidRPr="003E3F09">
              <w:rPr>
                <w:rFonts w:eastAsia="Times New Roman"/>
                <w:b/>
                <w:bCs/>
                <w:sz w:val="18"/>
                <w:szCs w:val="18"/>
              </w:rPr>
              <w:t xml:space="preserve">Note: </w:t>
            </w:r>
            <w:r w:rsidRPr="003E3F09">
              <w:rPr>
                <w:rFonts w:eastAsia="Times New Roman"/>
                <w:i/>
                <w:iCs/>
                <w:sz w:val="18"/>
                <w:szCs w:val="18"/>
              </w:rPr>
              <w:t>Thi</w:t>
            </w:r>
            <w:r w:rsidR="003E3F09" w:rsidRPr="003E3F09">
              <w:rPr>
                <w:rFonts w:eastAsia="Times New Roman"/>
                <w:i/>
                <w:iCs/>
                <w:sz w:val="18"/>
                <w:szCs w:val="18"/>
              </w:rPr>
              <w:t>s table will be updated based on the approved budget.</w:t>
            </w:r>
          </w:p>
        </w:tc>
      </w:tr>
    </w:tbl>
    <w:p w:rsidR="00EA09AE" w:rsidRPr="005A49D3" w:rsidRDefault="00EA09AE" w:rsidP="00EA09AE">
      <w:pPr>
        <w:jc w:val="both"/>
        <w:rPr>
          <w:szCs w:val="22"/>
        </w:rPr>
      </w:pPr>
    </w:p>
    <w:p w:rsidR="00EA09AE" w:rsidRPr="005A49D3" w:rsidRDefault="00EA09AE" w:rsidP="00EA09AE">
      <w:pPr>
        <w:rPr>
          <w:szCs w:val="22"/>
        </w:rPr>
      </w:pPr>
    </w:p>
    <w:p w:rsidR="00692E65" w:rsidRPr="005A49D3" w:rsidRDefault="00692E65" w:rsidP="00EA09AE">
      <w:pPr>
        <w:rPr>
          <w:szCs w:val="22"/>
        </w:rPr>
      </w:pPr>
    </w:p>
    <w:p w:rsidR="00692E65" w:rsidRPr="005A49D3" w:rsidRDefault="00692E65" w:rsidP="00EA09AE">
      <w:pPr>
        <w:rPr>
          <w:szCs w:val="22"/>
        </w:rPr>
      </w:pPr>
    </w:p>
    <w:p w:rsidR="00692E65" w:rsidRPr="005A49D3" w:rsidRDefault="00692E65" w:rsidP="00EA09AE">
      <w:pPr>
        <w:rPr>
          <w:szCs w:val="22"/>
        </w:rPr>
      </w:pPr>
    </w:p>
    <w:p w:rsidR="00692E65" w:rsidRPr="005A49D3" w:rsidRDefault="00692E65" w:rsidP="00EA09AE">
      <w:pPr>
        <w:rPr>
          <w:szCs w:val="22"/>
        </w:rPr>
      </w:pPr>
    </w:p>
    <w:p w:rsidR="00692E65" w:rsidRPr="005A49D3" w:rsidRDefault="00692E65" w:rsidP="00EA09AE">
      <w:pPr>
        <w:rPr>
          <w:szCs w:val="22"/>
        </w:rPr>
      </w:pPr>
    </w:p>
    <w:p w:rsidR="00692E65" w:rsidRPr="005A49D3" w:rsidRDefault="00692E65" w:rsidP="00EA09AE">
      <w:pPr>
        <w:rPr>
          <w:szCs w:val="22"/>
        </w:rPr>
      </w:pPr>
    </w:p>
    <w:p w:rsidR="00692E65" w:rsidRPr="005A49D3" w:rsidRDefault="00692E65" w:rsidP="00EA09AE">
      <w:pPr>
        <w:rPr>
          <w:szCs w:val="22"/>
        </w:rPr>
        <w:sectPr w:rsidR="00692E65" w:rsidRPr="005A49D3" w:rsidSect="00FF7E61">
          <w:pgSz w:w="16838" w:h="11906" w:orient="landscape" w:code="9"/>
          <w:pgMar w:top="1710" w:right="1440" w:bottom="1800" w:left="1440" w:header="720" w:footer="720" w:gutter="0"/>
          <w:cols w:space="708"/>
          <w:docGrid w:linePitch="360"/>
        </w:sectPr>
      </w:pPr>
    </w:p>
    <w:p w:rsidR="00EA09AE" w:rsidRPr="00A94EB7" w:rsidRDefault="00EA09AE" w:rsidP="00A94EB7">
      <w:pPr>
        <w:pStyle w:val="Heading1"/>
      </w:pPr>
      <w:bookmarkStart w:id="121" w:name="_Toc535744299"/>
      <w:bookmarkStart w:id="122" w:name="_Toc535750228"/>
      <w:r w:rsidRPr="00A94EB7">
        <w:lastRenderedPageBreak/>
        <w:t>Fiscal Risks and Contingent Liabilities and Assets</w:t>
      </w:r>
      <w:bookmarkEnd w:id="121"/>
      <w:bookmarkEnd w:id="122"/>
    </w:p>
    <w:p w:rsidR="00EA09AE" w:rsidRPr="00FA58D9" w:rsidRDefault="00EA09AE" w:rsidP="00FA58D9">
      <w:pPr>
        <w:pStyle w:val="Heading2"/>
        <w:rPr>
          <w:rFonts w:eastAsia="Corbel"/>
        </w:rPr>
      </w:pPr>
      <w:bookmarkStart w:id="123" w:name="_Toc535744300"/>
      <w:bookmarkStart w:id="124" w:name="_Toc535750229"/>
      <w:r w:rsidRPr="00FA58D9">
        <w:rPr>
          <w:rFonts w:eastAsia="Corbel"/>
        </w:rPr>
        <w:t>General Fiscal Risks</w:t>
      </w:r>
      <w:bookmarkEnd w:id="123"/>
      <w:bookmarkEnd w:id="124"/>
    </w:p>
    <w:p w:rsidR="00EA09AE" w:rsidRPr="00990309" w:rsidRDefault="00EA09AE" w:rsidP="002A06A9">
      <w:pPr>
        <w:jc w:val="both"/>
        <w:rPr>
          <w:szCs w:val="22"/>
          <w:lang w:bidi="ps-AF"/>
        </w:rPr>
      </w:pPr>
      <w:r w:rsidRPr="00990309">
        <w:rPr>
          <w:szCs w:val="22"/>
          <w:lang w:bidi="ps-AF"/>
        </w:rPr>
        <w:t>The forward estimates in the 139</w:t>
      </w:r>
      <w:r w:rsidR="002A06A9">
        <w:rPr>
          <w:szCs w:val="22"/>
          <w:lang w:bidi="ps-AF"/>
        </w:rPr>
        <w:t>8</w:t>
      </w:r>
      <w:r w:rsidRPr="00990309">
        <w:rPr>
          <w:szCs w:val="22"/>
          <w:lang w:bidi="ps-AF"/>
        </w:rPr>
        <w:t xml:space="preserve"> Budget incorporate assumptions and judgments based on the best information available at the time of publication. A range of factors may influence actual budget outcomes. The disclosure of these factors increases the transparency of fiscal projections.</w:t>
      </w:r>
    </w:p>
    <w:p w:rsidR="00EA09AE" w:rsidRPr="00990309" w:rsidRDefault="00EA09AE" w:rsidP="00873EC3">
      <w:pPr>
        <w:pStyle w:val="ListParagraph"/>
        <w:numPr>
          <w:ilvl w:val="0"/>
          <w:numId w:val="23"/>
        </w:numPr>
        <w:jc w:val="both"/>
        <w:rPr>
          <w:szCs w:val="22"/>
          <w:lang w:bidi="ps-AF"/>
        </w:rPr>
      </w:pPr>
      <w:r w:rsidRPr="00990309">
        <w:rPr>
          <w:szCs w:val="22"/>
          <w:lang w:bidi="ps-AF"/>
        </w:rPr>
        <w:t>Events that could affect fiscal outcomes include:</w:t>
      </w:r>
    </w:p>
    <w:p w:rsidR="00EA09AE" w:rsidRPr="00990309" w:rsidRDefault="00EA09AE" w:rsidP="00873EC3">
      <w:pPr>
        <w:pStyle w:val="ListParagraph"/>
        <w:numPr>
          <w:ilvl w:val="0"/>
          <w:numId w:val="23"/>
        </w:numPr>
        <w:jc w:val="both"/>
        <w:rPr>
          <w:szCs w:val="22"/>
          <w:lang w:bidi="ps-AF"/>
        </w:rPr>
      </w:pPr>
      <w:r w:rsidRPr="00990309">
        <w:rPr>
          <w:szCs w:val="22"/>
          <w:lang w:bidi="ps-AF"/>
        </w:rPr>
        <w:t>changes in economic and other parameters, particularly global economic developments;</w:t>
      </w:r>
    </w:p>
    <w:p w:rsidR="00EA09AE" w:rsidRPr="00990309" w:rsidRDefault="00EA09AE" w:rsidP="00873EC3">
      <w:pPr>
        <w:pStyle w:val="ListParagraph"/>
        <w:numPr>
          <w:ilvl w:val="0"/>
          <w:numId w:val="23"/>
        </w:numPr>
        <w:jc w:val="both"/>
        <w:rPr>
          <w:szCs w:val="22"/>
          <w:lang w:bidi="ps-AF"/>
        </w:rPr>
      </w:pPr>
      <w:r w:rsidRPr="00990309">
        <w:rPr>
          <w:szCs w:val="22"/>
          <w:lang w:bidi="ps-AF"/>
        </w:rPr>
        <w:t>matters not included in fiscal forecasts due to uncertainty over timing, magnitude or likelihood; and</w:t>
      </w:r>
    </w:p>
    <w:p w:rsidR="00EA09AE" w:rsidRPr="00990309" w:rsidRDefault="00EA09AE" w:rsidP="00873EC3">
      <w:pPr>
        <w:pStyle w:val="ListParagraph"/>
        <w:numPr>
          <w:ilvl w:val="0"/>
          <w:numId w:val="23"/>
        </w:numPr>
        <w:jc w:val="both"/>
        <w:rPr>
          <w:szCs w:val="22"/>
          <w:lang w:bidi="ps-AF"/>
        </w:rPr>
      </w:pPr>
      <w:r w:rsidRPr="00990309">
        <w:rPr>
          <w:szCs w:val="22"/>
          <w:lang w:bidi="ps-AF"/>
        </w:rPr>
        <w:t>The realization of contingent liabilities or assets.</w:t>
      </w:r>
    </w:p>
    <w:p w:rsidR="00981E78" w:rsidRPr="00FA58D9" w:rsidRDefault="00EA09AE" w:rsidP="00FA58D9">
      <w:pPr>
        <w:pStyle w:val="Heading2"/>
        <w:rPr>
          <w:rFonts w:eastAsia="Corbel"/>
        </w:rPr>
      </w:pPr>
      <w:bookmarkStart w:id="125" w:name="_Toc535744301"/>
      <w:bookmarkStart w:id="126" w:name="_Toc535750230"/>
      <w:r w:rsidRPr="00FA58D9">
        <w:rPr>
          <w:rFonts w:eastAsia="Corbel"/>
        </w:rPr>
        <w:t>Security</w:t>
      </w:r>
      <w:bookmarkEnd w:id="125"/>
      <w:bookmarkEnd w:id="126"/>
    </w:p>
    <w:p w:rsidR="00EA09AE" w:rsidRPr="00990309" w:rsidRDefault="00EA09AE" w:rsidP="00990309">
      <w:pPr>
        <w:jc w:val="both"/>
        <w:rPr>
          <w:szCs w:val="22"/>
          <w:lang w:bidi="ps-AF"/>
        </w:rPr>
      </w:pPr>
      <w:r w:rsidRPr="00990309">
        <w:rPr>
          <w:szCs w:val="22"/>
          <w:lang w:bidi="ps-AF"/>
        </w:rPr>
        <w:t>The on-going conflict in Afghanistan presents several risks to the budget. Any escalation in the conflict may have an adverse impact on growth and reduce revenue. Alternatively, a decline in the conflict may allow economic activity to increase leading to improved revenue. The conflict may also increase the cost of investment through the destruction of infrastructure or increased security costs.</w:t>
      </w:r>
    </w:p>
    <w:p w:rsidR="00EA09AE" w:rsidRPr="00990309" w:rsidRDefault="00EA09AE" w:rsidP="00990309">
      <w:pPr>
        <w:jc w:val="both"/>
        <w:rPr>
          <w:szCs w:val="22"/>
          <w:lang w:bidi="ps-AF"/>
        </w:rPr>
      </w:pPr>
      <w:r w:rsidRPr="00990309">
        <w:rPr>
          <w:szCs w:val="22"/>
          <w:lang w:bidi="ps-AF"/>
        </w:rPr>
        <w:t>A large proportion of funding for security is provided outside the national budget through the Resolute Support Mission, which is an international mission subject to the policies of foreign governments which are outside the direct control of the Government of Afghanistan. Should there be a major reduction in funding under Resolute Support, it would have a direct and significant impact on the capacity of the Afghan Security forces. The Government and international partners have agreed on the goal that by 2024, Afghanistan will meet security costs from domestic revenues. The achievement of this goal is subject to a range of factors that might put significant pressure on the national budget and the Government’s ability to meet demands for recurrent funding.</w:t>
      </w:r>
    </w:p>
    <w:p w:rsidR="00EA09AE" w:rsidRPr="00FA58D9" w:rsidRDefault="002A06A9" w:rsidP="00FA58D9">
      <w:pPr>
        <w:pStyle w:val="Heading2"/>
        <w:rPr>
          <w:rFonts w:eastAsia="Corbel"/>
        </w:rPr>
      </w:pPr>
      <w:bookmarkStart w:id="127" w:name="_Toc535744302"/>
      <w:bookmarkStart w:id="128" w:name="_Toc535750231"/>
      <w:r w:rsidRPr="00FA58D9">
        <w:rPr>
          <w:rFonts w:eastAsia="Corbel"/>
        </w:rPr>
        <w:t>IDPs &amp; Refugees Repatriation</w:t>
      </w:r>
      <w:bookmarkEnd w:id="127"/>
      <w:bookmarkEnd w:id="128"/>
    </w:p>
    <w:p w:rsidR="00EA09AE" w:rsidRPr="00990309" w:rsidRDefault="00EA09AE" w:rsidP="00990309">
      <w:pPr>
        <w:jc w:val="both"/>
        <w:rPr>
          <w:szCs w:val="22"/>
          <w:lang w:bidi="ps-AF"/>
        </w:rPr>
      </w:pPr>
      <w:r w:rsidRPr="00990309">
        <w:rPr>
          <w:szCs w:val="22"/>
          <w:lang w:bidi="ps-AF"/>
        </w:rPr>
        <w:t xml:space="preserve">One of the outcomes of war destructions and political instability from past </w:t>
      </w:r>
      <w:r w:rsidR="002A06A9" w:rsidRPr="00990309">
        <w:rPr>
          <w:szCs w:val="22"/>
          <w:lang w:bidi="ps-AF"/>
        </w:rPr>
        <w:t>decades</w:t>
      </w:r>
      <w:r w:rsidRPr="00990309">
        <w:rPr>
          <w:szCs w:val="22"/>
          <w:lang w:bidi="ps-AF"/>
        </w:rPr>
        <w:t xml:space="preserve"> is the migration and displacement of people from their core </w:t>
      </w:r>
      <w:r w:rsidR="002A06A9" w:rsidRPr="00990309">
        <w:rPr>
          <w:szCs w:val="22"/>
          <w:lang w:bidi="ps-AF"/>
        </w:rPr>
        <w:t>neighborhoods</w:t>
      </w:r>
      <w:r w:rsidRPr="00990309">
        <w:rPr>
          <w:szCs w:val="22"/>
          <w:lang w:bidi="ps-AF"/>
        </w:rPr>
        <w:t xml:space="preserve">. In addition to that, natural incidents such as floods, landslides and particularly drought are counted for being the core reasons of displacement of people. According to the reports of the United Nations High Commission for Refugees (UNHCR), Afghan refugees still rank second largest population in the world in terms of numbers and, in total, Afghan refugees account for 13% of the world’s total immigrant population. This shows that the immigration issues need serious attention from government and other organizations that work in this field. Even though the statistics of UNHCR shows that from March of 2002 to September of 2018, 5.2 million of Afghan refugees have repatriated to Afghanistan but according to the statistics of Ministry of Refugees Affairs more than 6 million Afghans are still living in migration, the majority of them are resident in Iran and Pakistan. In 2018 it is expected that 700,000 of people will repatriate to Afghanistan, of this 600,000 will return from Iran and 100,000 will return from Pakistan. In next year, majority of the repatriates will be from Iran because according to the economic sanctions of the United States of America the economic situation of Iran is likely to get </w:t>
      </w:r>
      <w:r w:rsidR="002A06A9" w:rsidRPr="00990309">
        <w:rPr>
          <w:szCs w:val="22"/>
          <w:lang w:bidi="ps-AF"/>
        </w:rPr>
        <w:t>worse;</w:t>
      </w:r>
      <w:r w:rsidRPr="00990309">
        <w:rPr>
          <w:szCs w:val="22"/>
          <w:lang w:bidi="ps-AF"/>
        </w:rPr>
        <w:t xml:space="preserve"> this would possibly force many immigrants to return back to Afghanistan. Also, change in the political leadership and new politics in Pakistan in one hand and the relatively poor security and livelihood conditions on the other hand can possibly become the reason for a number of immigrants to repatriate from Pakistan to Afghanistan. On the whole, this problem does not seem to be solved soon. On the other hand, lack of exact statistics and enough information on the number of registered refugees makes the predictions harder to handle this issue.</w:t>
      </w:r>
    </w:p>
    <w:p w:rsidR="00EA09AE" w:rsidRPr="00990309" w:rsidRDefault="00EA09AE" w:rsidP="00990309">
      <w:pPr>
        <w:jc w:val="both"/>
        <w:rPr>
          <w:spacing w:val="-4"/>
          <w:szCs w:val="22"/>
          <w:lang w:bidi="ps-AF"/>
        </w:rPr>
      </w:pPr>
      <w:r w:rsidRPr="00990309">
        <w:rPr>
          <w:spacing w:val="-4"/>
          <w:szCs w:val="22"/>
          <w:lang w:bidi="ps-AF"/>
        </w:rPr>
        <w:lastRenderedPageBreak/>
        <w:t xml:space="preserve">If the conflict ceases in the country and effective drought management programs are made and natural incidents are handled in a useful way, it is likely that the number of repatriates increase and conversely the number of internally displaced Afghans may reduce because if the situation is favorable a number of people might return back to their homes and continue with their normal lives. </w:t>
      </w:r>
    </w:p>
    <w:p w:rsidR="00EA09AE" w:rsidRPr="00FA58D9" w:rsidRDefault="00EA09AE" w:rsidP="00FA58D9">
      <w:pPr>
        <w:pStyle w:val="Heading2"/>
        <w:rPr>
          <w:rFonts w:eastAsia="Corbel"/>
        </w:rPr>
      </w:pPr>
      <w:bookmarkStart w:id="129" w:name="_Toc535744303"/>
      <w:bookmarkStart w:id="130" w:name="_Toc535750232"/>
      <w:r w:rsidRPr="00FA58D9">
        <w:rPr>
          <w:rFonts w:eastAsia="Corbel"/>
        </w:rPr>
        <w:t>Climate change and Fiscal Risks</w:t>
      </w:r>
      <w:bookmarkEnd w:id="129"/>
      <w:bookmarkEnd w:id="130"/>
    </w:p>
    <w:p w:rsidR="00EA09AE" w:rsidRDefault="00EA09AE" w:rsidP="00EA09AE">
      <w:pPr>
        <w:jc w:val="both"/>
        <w:rPr>
          <w:spacing w:val="-4"/>
          <w:szCs w:val="22"/>
          <w:lang w:bidi="ps-AF"/>
        </w:rPr>
      </w:pPr>
      <w:r w:rsidRPr="00990309">
        <w:rPr>
          <w:spacing w:val="-4"/>
          <w:szCs w:val="22"/>
          <w:lang w:bidi="ps-AF"/>
        </w:rPr>
        <w:t>Climate change (CC) poses significant risks to Asian countries, and particularly in Afghanistan, in the form of rising mean annual temperatures and varying spatial patterns in spring rainfall and snowmelt. This is leading to increased frequency of both droughts and floods in different regions of the country due to its diverse topography. Afghanistan’s higher exposure and sensitivity to CC is expected to severely impact rural livelihoods, food security and the overall economy. Afghanistan has recently conducted a CC Public Expenditure Review and Indicative CC Financing Framework (CPEIR+), which considers the potential impact of CC on economic growth, the existing expenditure related to CC and some indicative scenarios of future CC expenditure. Figure 1 provides a snapshot of the major sources of losses and damages from CC on Afghanistan’s GDP growth by 2050, from the Afghan CPEIR report. It indicates that the impacts on agriculture and human health would cause highest reductions to economic growth due to CC.</w:t>
      </w:r>
    </w:p>
    <w:p w:rsidR="00875781" w:rsidRPr="00990309" w:rsidRDefault="00875781" w:rsidP="00EA09AE">
      <w:pPr>
        <w:jc w:val="both"/>
        <w:rPr>
          <w:spacing w:val="-4"/>
          <w:szCs w:val="22"/>
          <w:lang w:bidi="ps-AF"/>
        </w:rPr>
      </w:pPr>
    </w:p>
    <w:p w:rsidR="001225F0" w:rsidRPr="001225F0" w:rsidRDefault="001225F0" w:rsidP="001225F0">
      <w:pPr>
        <w:pStyle w:val="Caption"/>
        <w:bidi w:val="0"/>
        <w:rPr>
          <w:rFonts w:ascii="Garamond" w:hAnsi="Garamond"/>
          <w:sz w:val="22"/>
          <w:szCs w:val="22"/>
        </w:rPr>
      </w:pPr>
      <w:bookmarkStart w:id="131" w:name="_Toc535750371"/>
      <w:r w:rsidRPr="001225F0">
        <w:rPr>
          <w:rFonts w:ascii="Garamond" w:hAnsi="Garamond"/>
          <w:sz w:val="22"/>
          <w:szCs w:val="22"/>
        </w:rPr>
        <w:t xml:space="preserve">Figure </w:t>
      </w:r>
      <w:r w:rsidRPr="001225F0">
        <w:rPr>
          <w:rFonts w:ascii="Garamond" w:hAnsi="Garamond"/>
          <w:sz w:val="22"/>
          <w:szCs w:val="22"/>
        </w:rPr>
        <w:fldChar w:fldCharType="begin"/>
      </w:r>
      <w:r w:rsidRPr="001225F0">
        <w:rPr>
          <w:rFonts w:ascii="Garamond" w:hAnsi="Garamond"/>
          <w:sz w:val="22"/>
          <w:szCs w:val="22"/>
        </w:rPr>
        <w:instrText xml:space="preserve"> SEQ Figure \* ARABIC </w:instrText>
      </w:r>
      <w:r w:rsidRPr="001225F0">
        <w:rPr>
          <w:rFonts w:ascii="Garamond" w:hAnsi="Garamond"/>
          <w:sz w:val="22"/>
          <w:szCs w:val="22"/>
        </w:rPr>
        <w:fldChar w:fldCharType="separate"/>
      </w:r>
      <w:r w:rsidR="00862183">
        <w:rPr>
          <w:rFonts w:ascii="Garamond" w:hAnsi="Garamond"/>
          <w:noProof/>
          <w:sz w:val="22"/>
          <w:szCs w:val="22"/>
        </w:rPr>
        <w:t>6</w:t>
      </w:r>
      <w:r w:rsidRPr="001225F0">
        <w:rPr>
          <w:rFonts w:ascii="Garamond" w:hAnsi="Garamond"/>
          <w:sz w:val="22"/>
          <w:szCs w:val="22"/>
        </w:rPr>
        <w:fldChar w:fldCharType="end"/>
      </w:r>
      <w:r>
        <w:rPr>
          <w:rFonts w:ascii="Garamond" w:hAnsi="Garamond"/>
          <w:sz w:val="22"/>
          <w:szCs w:val="22"/>
        </w:rPr>
        <w:t xml:space="preserve"> </w:t>
      </w:r>
      <w:r w:rsidRPr="001225F0">
        <w:rPr>
          <w:rFonts w:ascii="Garamond" w:hAnsi="Garamond"/>
          <w:sz w:val="22"/>
          <w:szCs w:val="22"/>
        </w:rPr>
        <w:t>Sources of Loss and Damage (Reduction in GDP growth by 2050)</w:t>
      </w:r>
      <w:bookmarkEnd w:id="131"/>
    </w:p>
    <w:p w:rsidR="00EA09AE" w:rsidRPr="005A49D3" w:rsidRDefault="00EA09AE" w:rsidP="00990309">
      <w:pPr>
        <w:rPr>
          <w:i/>
          <w:szCs w:val="22"/>
        </w:rPr>
      </w:pPr>
      <w:r w:rsidRPr="005A49D3">
        <w:rPr>
          <w:noProof/>
          <w:szCs w:val="22"/>
        </w:rPr>
        <w:drawing>
          <wp:inline distT="0" distB="0" distL="0" distR="0" wp14:anchorId="7C71F147" wp14:editId="3A422169">
            <wp:extent cx="5192202" cy="243072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5026" cy="2432050"/>
                    </a:xfrm>
                    <a:prstGeom prst="rect">
                      <a:avLst/>
                    </a:prstGeom>
                    <a:noFill/>
                    <a:ln>
                      <a:noFill/>
                    </a:ln>
                  </pic:spPr>
                </pic:pic>
              </a:graphicData>
            </a:graphic>
          </wp:inline>
        </w:drawing>
      </w:r>
      <w:r w:rsidRPr="005A49D3">
        <w:rPr>
          <w:szCs w:val="22"/>
        </w:rPr>
        <w:br/>
      </w:r>
      <w:r w:rsidRPr="001225F0">
        <w:rPr>
          <w:i/>
          <w:sz w:val="18"/>
          <w:szCs w:val="18"/>
        </w:rPr>
        <w:t>Source: The Implication of Climate Change for Planning and Finance in Afghanistan: CPEIR and Indicative CCFF, 2017</w:t>
      </w:r>
    </w:p>
    <w:p w:rsidR="00EA09AE" w:rsidRPr="00990309" w:rsidRDefault="00EA09AE" w:rsidP="00EA09AE">
      <w:pPr>
        <w:jc w:val="both"/>
        <w:rPr>
          <w:spacing w:val="-4"/>
          <w:szCs w:val="22"/>
          <w:lang w:bidi="ps-AF"/>
        </w:rPr>
      </w:pPr>
      <w:r w:rsidRPr="00990309">
        <w:rPr>
          <w:spacing w:val="-4"/>
          <w:szCs w:val="22"/>
          <w:lang w:bidi="ps-AF"/>
        </w:rPr>
        <w:t>Therefore, this depicts the cost of not accounting for the future impacts of CC on the economy. Given the moderate growth projections estimated for the country, this becomes further important for the Afghan government in its development strategy. This shows the critical linkage between preserving future growth and welfare outcomes and the projected CC impacts on various sectors of the economy.</w:t>
      </w:r>
    </w:p>
    <w:p w:rsidR="00EA09AE" w:rsidRPr="00990309" w:rsidRDefault="00EA09AE" w:rsidP="00EA09AE">
      <w:pPr>
        <w:jc w:val="both"/>
        <w:rPr>
          <w:spacing w:val="-4"/>
          <w:szCs w:val="22"/>
          <w:lang w:bidi="ps-AF"/>
        </w:rPr>
      </w:pPr>
      <w:r w:rsidRPr="00990309">
        <w:rPr>
          <w:spacing w:val="-4"/>
          <w:szCs w:val="22"/>
          <w:lang w:bidi="ps-AF"/>
        </w:rPr>
        <w:t xml:space="preserve">The overall fiscal risks arising from the climate change is not quantifiable at the moment and have not been considered in the multi-year estimates, however, any fiscal pressures emerging from the climate change including but not limited to droughts, earthquakes, landslides, avalanches and floods must be financed from the current available sources. </w:t>
      </w:r>
    </w:p>
    <w:p w:rsidR="00EA09AE" w:rsidRPr="00990309" w:rsidRDefault="00EA09AE" w:rsidP="00EA09AE">
      <w:pPr>
        <w:jc w:val="both"/>
        <w:rPr>
          <w:spacing w:val="-4"/>
          <w:szCs w:val="22"/>
          <w:lang w:bidi="ps-AF"/>
        </w:rPr>
      </w:pPr>
      <w:r w:rsidRPr="00990309">
        <w:rPr>
          <w:spacing w:val="-4"/>
          <w:szCs w:val="22"/>
          <w:lang w:bidi="ps-AF"/>
        </w:rPr>
        <w:t>In order to pro-actively respond to the climate change losses and damages and to avoid huge fiscal risks, a concerted action from multiple stakeholders, spearheaded by the national government, is required to mobilize resources and capacities, as well as facilitate institutional reforms to address these issues. The inclusion of a CC dimension in the planning and design of large scale development programs is widely resorted to, in pursuit of improving community resilience and adaptive capacity.</w:t>
      </w:r>
    </w:p>
    <w:p w:rsidR="00EA09AE" w:rsidRPr="005A49D3" w:rsidRDefault="00EA09AE" w:rsidP="00EA09AE">
      <w:pPr>
        <w:rPr>
          <w:szCs w:val="22"/>
        </w:rPr>
      </w:pPr>
    </w:p>
    <w:p w:rsidR="00692E65" w:rsidRPr="005A49D3" w:rsidRDefault="00692E65" w:rsidP="00EA09AE">
      <w:pPr>
        <w:jc w:val="both"/>
        <w:rPr>
          <w:b/>
          <w:bCs/>
          <w:i/>
          <w:iCs/>
          <w:szCs w:val="22"/>
          <w:u w:val="single"/>
        </w:rPr>
      </w:pPr>
    </w:p>
    <w:p w:rsidR="00B061E9" w:rsidRPr="00990309" w:rsidRDefault="00EA09AE" w:rsidP="00FA58D9">
      <w:pPr>
        <w:rPr>
          <w:spacing w:val="-4"/>
          <w:szCs w:val="22"/>
          <w:lang w:bidi="ps-AF"/>
        </w:rPr>
      </w:pPr>
      <w:r w:rsidRPr="00FA58D9">
        <w:rPr>
          <w:b/>
          <w:bCs/>
        </w:rPr>
        <w:lastRenderedPageBreak/>
        <w:t>Drought – A recent Climate Change Shock:</w:t>
      </w:r>
      <w:r w:rsidR="00FA58D9">
        <w:rPr>
          <w:b/>
          <w:bCs/>
        </w:rPr>
        <w:t xml:space="preserve"> </w:t>
      </w:r>
      <w:r w:rsidRPr="00990309">
        <w:rPr>
          <w:spacing w:val="-4"/>
          <w:szCs w:val="22"/>
          <w:lang w:bidi="ps-AF"/>
        </w:rPr>
        <w:t>Drought has drastically affected major parts of the country, with two out of every three provinces expected to become severely food insec</w:t>
      </w:r>
      <w:r w:rsidR="00B061E9" w:rsidRPr="00990309">
        <w:rPr>
          <w:spacing w:val="-4"/>
          <w:szCs w:val="22"/>
          <w:lang w:bidi="ps-AF"/>
        </w:rPr>
        <w:t xml:space="preserve">ure and in need of assistance. </w:t>
      </w:r>
    </w:p>
    <w:p w:rsidR="00EA09AE" w:rsidRPr="00990309" w:rsidRDefault="00EA09AE" w:rsidP="005A49D3">
      <w:pPr>
        <w:jc w:val="both"/>
        <w:rPr>
          <w:spacing w:val="-4"/>
          <w:szCs w:val="22"/>
          <w:lang w:bidi="ps-AF"/>
        </w:rPr>
      </w:pPr>
      <w:r w:rsidRPr="00990309">
        <w:rPr>
          <w:spacing w:val="-4"/>
          <w:szCs w:val="22"/>
          <w:lang w:bidi="ps-AF"/>
        </w:rPr>
        <w:t xml:space="preserve">Below average snowfall and precipitation (deficit of 70%) has caused water points, fountains and rivers run low on water or completely dry up. </w:t>
      </w:r>
    </w:p>
    <w:p w:rsidR="00EA09AE" w:rsidRPr="00990309" w:rsidRDefault="00EA09AE" w:rsidP="005A49D3">
      <w:pPr>
        <w:jc w:val="both"/>
        <w:rPr>
          <w:spacing w:val="-4"/>
          <w:szCs w:val="22"/>
          <w:lang w:bidi="ps-AF"/>
        </w:rPr>
      </w:pPr>
      <w:r w:rsidRPr="00990309">
        <w:rPr>
          <w:spacing w:val="-4"/>
          <w:szCs w:val="22"/>
          <w:lang w:bidi="ps-AF"/>
        </w:rPr>
        <w:t xml:space="preserve">Lack of water had significantly affected the winter agriculture season and its harvest and is expected to continue through 2019 spring and summer seasons. Apart from low agriculture productivity, the lack of harvest has also affected people with livestock and pastoralists like Kuchies as pasturelands have dried up or overgrazed. Concurrently the agriculture labor opportunities and wages have significantly reduced due to migration of rural workers. These factors coupled together leads to food insecurity and reduced income for majority of people in the affected. </w:t>
      </w:r>
    </w:p>
    <w:p w:rsidR="00EA09AE" w:rsidRPr="00990309" w:rsidRDefault="00EA09AE" w:rsidP="005A49D3">
      <w:pPr>
        <w:jc w:val="both"/>
        <w:rPr>
          <w:spacing w:val="-4"/>
          <w:szCs w:val="22"/>
          <w:lang w:bidi="ps-AF"/>
        </w:rPr>
      </w:pPr>
      <w:r w:rsidRPr="00990309">
        <w:rPr>
          <w:spacing w:val="-4"/>
          <w:szCs w:val="22"/>
          <w:lang w:bidi="ps-AF"/>
        </w:rPr>
        <w:t xml:space="preserve">The latest figures indicate that about 1.9 million people across the country have been affected by severe drought conditions in 20 provinces namely; Balkh, Faryab, Jawzjan, Samangan, Daikundi, Sarepul, Badakhshan, Baghlan, Kunduz, Takhar, Nuristan, Badghis, Farah, Ghor, Herat, Helmand, Kandahar, Nimroz, Uruzgan and Zabul. The Government needs to work on a drought-response package with the assistance of donor community to support in areas like food and nutrition, water supply and sanitation, emergency shelters and non-food items. The government, although being very low on resources, is committed to invest in these areas to serve affected Afghan population. The overall drought response requirements in 2019 and years to come are un-quantified to date but even after big donor assistances the Government needs to budget for drought response which will have huge pressure on the already limited resource envelop. </w:t>
      </w:r>
    </w:p>
    <w:p w:rsidR="00B061E9" w:rsidRPr="00FA58D9" w:rsidRDefault="00B061E9" w:rsidP="00FA58D9">
      <w:pPr>
        <w:pStyle w:val="Heading2"/>
        <w:rPr>
          <w:rFonts w:eastAsia="Corbel"/>
        </w:rPr>
      </w:pPr>
      <w:bookmarkStart w:id="132" w:name="_Toc535744304"/>
      <w:bookmarkStart w:id="133" w:name="_Toc535750233"/>
      <w:r w:rsidRPr="00FA58D9">
        <w:rPr>
          <w:rFonts w:eastAsia="Corbel"/>
        </w:rPr>
        <w:t>State-Owned Enterprises</w:t>
      </w:r>
      <w:bookmarkEnd w:id="132"/>
      <w:bookmarkEnd w:id="133"/>
    </w:p>
    <w:p w:rsidR="00B061E9" w:rsidRPr="00C7593E" w:rsidRDefault="00B061E9" w:rsidP="00B061E9">
      <w:pPr>
        <w:jc w:val="both"/>
        <w:rPr>
          <w:spacing w:val="-4"/>
          <w:szCs w:val="22"/>
          <w:rtl/>
          <w:lang w:bidi="ps-AF"/>
        </w:rPr>
      </w:pPr>
      <w:r w:rsidRPr="00C7593E">
        <w:rPr>
          <w:spacing w:val="-4"/>
          <w:szCs w:val="22"/>
          <w:lang w:bidi="ps-AF"/>
        </w:rPr>
        <w:t>Regardless of the recent developments in the country, state-owned enterprises and companies have continued their activities at different levels. These enterprises are operating in the areas of energy, mining, security, manufacturing, tourism, transportation, water, trade, telecommunications, insurance and industry. There are a total of 35 state-owned enterprises, 16 state-owned companies and 3 state-owned commercial banks including New Kabul Bank, in Afghanistan. The activities of state-owned enterprises, state-owned companies and state-owned commercial banks are regulated per the concerned laws and by-laws.</w:t>
      </w:r>
    </w:p>
    <w:p w:rsidR="00B061E9" w:rsidRPr="00FA58D9" w:rsidRDefault="00B061E9" w:rsidP="00FA58D9">
      <w:pPr>
        <w:pStyle w:val="Heading3"/>
      </w:pPr>
      <w:bookmarkStart w:id="134" w:name="_Toc535744305"/>
      <w:bookmarkStart w:id="135" w:name="_Toc535750234"/>
      <w:r w:rsidRPr="00FA58D9">
        <w:t>Information on Financial Position</w:t>
      </w:r>
      <w:bookmarkEnd w:id="134"/>
      <w:bookmarkEnd w:id="135"/>
    </w:p>
    <w:p w:rsidR="00B061E9" w:rsidRPr="00C7593E" w:rsidRDefault="00B061E9" w:rsidP="005A49D3">
      <w:pPr>
        <w:jc w:val="both"/>
        <w:rPr>
          <w:spacing w:val="-4"/>
          <w:szCs w:val="22"/>
          <w:lang w:bidi="ps-AF"/>
        </w:rPr>
      </w:pPr>
      <w:r w:rsidRPr="00C7593E">
        <w:rPr>
          <w:spacing w:val="-4"/>
          <w:szCs w:val="22"/>
          <w:lang w:bidi="ps-AF"/>
        </w:rPr>
        <w:t>The financial position of each of the enterprises varies. However, in general, they can be classified into three categories:</w:t>
      </w:r>
    </w:p>
    <w:p w:rsidR="00B061E9" w:rsidRPr="00C7593E" w:rsidRDefault="00B061E9" w:rsidP="00873EC3">
      <w:pPr>
        <w:pStyle w:val="ListParagraph"/>
        <w:numPr>
          <w:ilvl w:val="0"/>
          <w:numId w:val="24"/>
        </w:numPr>
        <w:jc w:val="both"/>
        <w:rPr>
          <w:spacing w:val="-4"/>
          <w:szCs w:val="22"/>
          <w:lang w:bidi="ps-AF"/>
        </w:rPr>
      </w:pPr>
      <w:r w:rsidRPr="00C7593E">
        <w:rPr>
          <w:spacing w:val="-4"/>
          <w:szCs w:val="22"/>
          <w:lang w:bidi="ps-AF"/>
        </w:rPr>
        <w:t>Profitable enterprises;</w:t>
      </w:r>
    </w:p>
    <w:p w:rsidR="00B061E9" w:rsidRPr="00C7593E" w:rsidRDefault="00B061E9" w:rsidP="00873EC3">
      <w:pPr>
        <w:pStyle w:val="ListParagraph"/>
        <w:numPr>
          <w:ilvl w:val="0"/>
          <w:numId w:val="24"/>
        </w:numPr>
        <w:jc w:val="both"/>
        <w:rPr>
          <w:spacing w:val="-4"/>
          <w:szCs w:val="22"/>
          <w:lang w:bidi="ps-AF"/>
        </w:rPr>
      </w:pPr>
      <w:r w:rsidRPr="00C7593E">
        <w:rPr>
          <w:spacing w:val="-4"/>
          <w:szCs w:val="22"/>
          <w:lang w:bidi="ps-AF"/>
        </w:rPr>
        <w:t>Enterprises that can only cover their expenses through their revenues;</w:t>
      </w:r>
    </w:p>
    <w:p w:rsidR="00B061E9" w:rsidRPr="00C7593E" w:rsidRDefault="00B061E9" w:rsidP="00873EC3">
      <w:pPr>
        <w:pStyle w:val="ListParagraph"/>
        <w:numPr>
          <w:ilvl w:val="0"/>
          <w:numId w:val="24"/>
        </w:numPr>
        <w:jc w:val="both"/>
        <w:rPr>
          <w:spacing w:val="-4"/>
          <w:szCs w:val="22"/>
          <w:lang w:bidi="ps-AF"/>
        </w:rPr>
      </w:pPr>
      <w:r w:rsidRPr="00C7593E">
        <w:rPr>
          <w:spacing w:val="-4"/>
          <w:szCs w:val="22"/>
          <w:lang w:bidi="ps-AF"/>
        </w:rPr>
        <w:t>Enterprises that have non-essential revenues or doesn’t function at all.</w:t>
      </w:r>
    </w:p>
    <w:p w:rsidR="00B061E9" w:rsidRPr="00C7593E" w:rsidRDefault="00B061E9" w:rsidP="005A49D3">
      <w:pPr>
        <w:jc w:val="both"/>
        <w:rPr>
          <w:spacing w:val="-4"/>
          <w:szCs w:val="22"/>
          <w:rtl/>
          <w:lang w:bidi="ps-AF"/>
        </w:rPr>
      </w:pPr>
      <w:r w:rsidRPr="00C7593E">
        <w:rPr>
          <w:spacing w:val="-4"/>
          <w:szCs w:val="22"/>
          <w:lang w:bidi="ps-AF"/>
        </w:rPr>
        <w:t>Of the above, almost 10 enterprises are profitable, whereas, the rest are included into the two categories of (B) and (C). In addition to the fact that some enterprises do not have enough revenues, they bring about opportunity costs to the government. If required, decisions are not made ab</w:t>
      </w:r>
      <w:r w:rsidR="00C7593E">
        <w:rPr>
          <w:spacing w:val="-4"/>
          <w:szCs w:val="22"/>
          <w:lang w:bidi="ps-AF"/>
        </w:rPr>
        <w:t>out destiny of these enterprise</w:t>
      </w:r>
      <w:r w:rsidRPr="00C7593E">
        <w:rPr>
          <w:spacing w:val="-4"/>
          <w:szCs w:val="22"/>
          <w:lang w:bidi="ps-AF"/>
        </w:rPr>
        <w:t xml:space="preserve">, the subsequent costs to re-establish them will be much greater, as investment in these sectors may put serious financial pressure on the government. </w:t>
      </w:r>
    </w:p>
    <w:p w:rsidR="00B061E9" w:rsidRPr="00C7593E" w:rsidRDefault="00B061E9" w:rsidP="005A49D3">
      <w:pPr>
        <w:jc w:val="both"/>
        <w:rPr>
          <w:spacing w:val="-4"/>
          <w:szCs w:val="22"/>
          <w:lang w:bidi="ps-AF"/>
        </w:rPr>
      </w:pPr>
      <w:r w:rsidRPr="00C7593E">
        <w:rPr>
          <w:spacing w:val="-4"/>
          <w:szCs w:val="22"/>
          <w:lang w:bidi="ps-AF"/>
        </w:rPr>
        <w:t xml:space="preserve">A number of state-owned enterprises, due to their low capacity, cannot submit their balance sheets in a timely manner. This has made it impossible to provide the necessary information and comprehensive financial analysis on a timely basis. Considering this, the continued functioning of these enterprises, while there is no image about their financial situation, could face serious financial risks. On the other hand, this has made the financial risks in this sector </w:t>
      </w:r>
      <w:r w:rsidR="00C7593E" w:rsidRPr="00C7593E">
        <w:rPr>
          <w:spacing w:val="-4"/>
          <w:szCs w:val="22"/>
          <w:lang w:bidi="ps-AF"/>
        </w:rPr>
        <w:t>immeasurable</w:t>
      </w:r>
      <w:r w:rsidRPr="00C7593E">
        <w:rPr>
          <w:spacing w:val="-4"/>
          <w:szCs w:val="22"/>
          <w:lang w:bidi="ps-AF"/>
        </w:rPr>
        <w:t xml:space="preserve"> and uncertain.</w:t>
      </w:r>
    </w:p>
    <w:p w:rsidR="00B061E9" w:rsidRPr="005A49D3" w:rsidRDefault="00B061E9" w:rsidP="00FA58D9">
      <w:pPr>
        <w:pStyle w:val="Heading3"/>
      </w:pPr>
      <w:bookmarkStart w:id="136" w:name="_Toc535744306"/>
      <w:bookmarkStart w:id="137" w:name="_Toc535750235"/>
      <w:r w:rsidRPr="005A49D3">
        <w:t>Measures to Improve State-Owned Enterprises &amp; Companies</w:t>
      </w:r>
      <w:bookmarkEnd w:id="136"/>
      <w:bookmarkEnd w:id="137"/>
    </w:p>
    <w:p w:rsidR="00B061E9" w:rsidRPr="00C7593E" w:rsidRDefault="00B061E9" w:rsidP="00B061E9">
      <w:pPr>
        <w:jc w:val="both"/>
        <w:rPr>
          <w:spacing w:val="-4"/>
          <w:szCs w:val="22"/>
          <w:rtl/>
          <w:lang w:bidi="ps-AF"/>
        </w:rPr>
      </w:pPr>
      <w:r w:rsidRPr="00C7593E">
        <w:rPr>
          <w:spacing w:val="-4"/>
          <w:szCs w:val="22"/>
          <w:lang w:bidi="ps-AF"/>
        </w:rPr>
        <w:t xml:space="preserve">Some state-owned companies and commercial banks, do not share their balance sheets as well as other financial information in a required manner with the Directorate General of State-owned Enterprises. This problem is mostly resulting from a legal gap; at this time, the Directorate General of </w:t>
      </w:r>
      <w:r w:rsidRPr="00C7593E">
        <w:rPr>
          <w:spacing w:val="-4"/>
          <w:szCs w:val="22"/>
          <w:lang w:bidi="ps-AF"/>
        </w:rPr>
        <w:lastRenderedPageBreak/>
        <w:t>State-Owned Enterprises has finalized and processed the draft law on state-owned companies. By enforcing this law, state-owned companies and state-owned commercial banks will be required to report to the Directorate General of Enterprises, and all barriers that have previously restricted the monitoring of these companies will be lifted accordingly.</w:t>
      </w:r>
    </w:p>
    <w:p w:rsidR="00B061E9" w:rsidRPr="00C7593E" w:rsidRDefault="00B061E9" w:rsidP="00B061E9">
      <w:pPr>
        <w:jc w:val="both"/>
        <w:rPr>
          <w:spacing w:val="-4"/>
          <w:szCs w:val="22"/>
          <w:lang w:bidi="ps-AF"/>
        </w:rPr>
      </w:pPr>
      <w:r w:rsidRPr="00C7593E">
        <w:rPr>
          <w:spacing w:val="-4"/>
          <w:szCs w:val="22"/>
          <w:lang w:bidi="ps-AF"/>
        </w:rPr>
        <w:t>Despite the fact that the government has supported the state-owned enterprises and companies in different areas including debt guarantee, incentives for tax expenditures, subsidies and recollection of the capitals, the analytical data from accumulated potential liabilities have not been collected in a systematic manner. The government promoted the directorate of state-owned enterprises to directorate general of state-owned enterprises and companies, according to the financial performance improvement plan, in 1397. However, the process of capacity building and establishment of an effective oversight system that could guarantee the productivity of the state-owned enterprises and companies require time and all-inclusive support such as human resources, technical assistance and improvement or drafting of the laws.</w:t>
      </w:r>
    </w:p>
    <w:p w:rsidR="00B061E9" w:rsidRPr="00C7593E" w:rsidRDefault="00B061E9" w:rsidP="005A49D3">
      <w:pPr>
        <w:jc w:val="both"/>
        <w:rPr>
          <w:spacing w:val="-4"/>
          <w:szCs w:val="22"/>
          <w:lang w:bidi="ps-AF"/>
        </w:rPr>
      </w:pPr>
      <w:r w:rsidRPr="00C7593E">
        <w:rPr>
          <w:spacing w:val="-4"/>
          <w:szCs w:val="22"/>
          <w:lang w:bidi="ps-AF"/>
        </w:rPr>
        <w:t>At this time, the draft law on enterprises is being processed and, based on the proposed recommendations, it is expected that the enterprises would have a better functioning in the market and will be able to upgrade their revenue to the utmost. It’s noteworthy that approval and implementation of this law would also require time; also, it shouldn’t be expected that all the existing challenges will be addressed upon approval of this law.</w:t>
      </w:r>
    </w:p>
    <w:p w:rsidR="00B061E9" w:rsidRPr="00C7593E" w:rsidRDefault="00B061E9" w:rsidP="005A49D3">
      <w:pPr>
        <w:jc w:val="both"/>
        <w:rPr>
          <w:spacing w:val="-4"/>
          <w:szCs w:val="22"/>
          <w:rtl/>
          <w:lang w:bidi="ps-AF"/>
        </w:rPr>
      </w:pPr>
      <w:r w:rsidRPr="00C7593E">
        <w:rPr>
          <w:spacing w:val="-4"/>
          <w:szCs w:val="22"/>
          <w:lang w:bidi="ps-AF"/>
        </w:rPr>
        <w:t>The law on governmental companies is also under work; this law will have a considerable importance in establishment of a legal framework to thoroughly oversee the activities of these companies. But overall, an effective over-sight would remain a challenge and a concern in the medium-term.</w:t>
      </w:r>
    </w:p>
    <w:p w:rsidR="00981E78" w:rsidRPr="00FA58D9" w:rsidRDefault="00B061E9" w:rsidP="00FA58D9">
      <w:pPr>
        <w:pStyle w:val="Heading2"/>
        <w:rPr>
          <w:rFonts w:eastAsia="Corbel"/>
        </w:rPr>
      </w:pPr>
      <w:bookmarkStart w:id="138" w:name="_Toc535744307"/>
      <w:bookmarkStart w:id="139" w:name="_Toc535750236"/>
      <w:r w:rsidRPr="00FA58D9">
        <w:rPr>
          <w:rFonts w:eastAsia="Corbel"/>
        </w:rPr>
        <w:t>Pensions</w:t>
      </w:r>
      <w:bookmarkEnd w:id="138"/>
      <w:bookmarkEnd w:id="139"/>
    </w:p>
    <w:p w:rsidR="00B061E9" w:rsidRPr="00C7593E" w:rsidRDefault="00B061E9" w:rsidP="00C7593E">
      <w:pPr>
        <w:jc w:val="both"/>
        <w:rPr>
          <w:spacing w:val="-4"/>
          <w:szCs w:val="22"/>
          <w:lang w:bidi="ps-AF"/>
        </w:rPr>
      </w:pPr>
      <w:r w:rsidRPr="00C7593E">
        <w:rPr>
          <w:spacing w:val="-4"/>
          <w:szCs w:val="22"/>
          <w:lang w:bidi="ps-AF"/>
        </w:rPr>
        <w:t>The Government is accruing significant pension liabilities relating to civil servants that are not fully accounted for in the Medium-Term Expenditure Framework and forward estimates. The current system for civil service pensions provides for an income upon retirement based on years of service and final salary.</w:t>
      </w:r>
    </w:p>
    <w:p w:rsidR="00B061E9" w:rsidRPr="00C7593E" w:rsidRDefault="00B061E9" w:rsidP="00C7593E">
      <w:pPr>
        <w:jc w:val="both"/>
        <w:rPr>
          <w:spacing w:val="-4"/>
          <w:szCs w:val="22"/>
          <w:lang w:bidi="ps-AF"/>
        </w:rPr>
      </w:pPr>
      <w:r w:rsidRPr="00C7593E">
        <w:rPr>
          <w:spacing w:val="-4"/>
          <w:szCs w:val="22"/>
          <w:lang w:bidi="ps-AF"/>
        </w:rPr>
        <w:t>The formula for calculating pensions is:</w:t>
      </w:r>
    </w:p>
    <w:p w:rsidR="00B061E9" w:rsidRPr="00C7593E" w:rsidRDefault="00B061E9" w:rsidP="00873EC3">
      <w:pPr>
        <w:pStyle w:val="ListParagraph"/>
        <w:numPr>
          <w:ilvl w:val="0"/>
          <w:numId w:val="25"/>
        </w:numPr>
        <w:jc w:val="both"/>
        <w:rPr>
          <w:spacing w:val="-4"/>
          <w:szCs w:val="22"/>
          <w:lang w:bidi="ps-AF"/>
        </w:rPr>
      </w:pPr>
      <w:r w:rsidRPr="00C7593E">
        <w:rPr>
          <w:spacing w:val="-4"/>
          <w:szCs w:val="22"/>
          <w:lang w:bidi="ps-AF"/>
        </w:rPr>
        <w:t>After 10 years of service, an employee is entitled to a pension of 40 per cent of their average salary from the last 3 years.</w:t>
      </w:r>
    </w:p>
    <w:p w:rsidR="00B061E9" w:rsidRPr="00C7593E" w:rsidRDefault="00B061E9" w:rsidP="00873EC3">
      <w:pPr>
        <w:pStyle w:val="ListParagraph"/>
        <w:numPr>
          <w:ilvl w:val="0"/>
          <w:numId w:val="25"/>
        </w:numPr>
        <w:jc w:val="both"/>
        <w:rPr>
          <w:spacing w:val="-4"/>
          <w:szCs w:val="22"/>
          <w:lang w:bidi="ps-AF"/>
        </w:rPr>
      </w:pPr>
      <w:r w:rsidRPr="00C7593E">
        <w:rPr>
          <w:spacing w:val="-4"/>
          <w:szCs w:val="22"/>
          <w:lang w:bidi="ps-AF"/>
        </w:rPr>
        <w:t>There is then a provision of an additional 2 per cent per year for each year of additional service.</w:t>
      </w:r>
    </w:p>
    <w:p w:rsidR="00B061E9" w:rsidRPr="00C7593E" w:rsidRDefault="00B061E9" w:rsidP="00873EC3">
      <w:pPr>
        <w:pStyle w:val="ListParagraph"/>
        <w:numPr>
          <w:ilvl w:val="0"/>
          <w:numId w:val="25"/>
        </w:numPr>
        <w:jc w:val="both"/>
        <w:rPr>
          <w:spacing w:val="-4"/>
          <w:szCs w:val="22"/>
          <w:lang w:bidi="ps-AF"/>
        </w:rPr>
      </w:pPr>
      <w:r w:rsidRPr="00C7593E">
        <w:rPr>
          <w:spacing w:val="-4"/>
          <w:szCs w:val="22"/>
          <w:lang w:bidi="ps-AF"/>
        </w:rPr>
        <w:t>Voluntary retirement with a civil pension can be taken from the age of 63, mandatory retirement is at age 65.</w:t>
      </w:r>
    </w:p>
    <w:p w:rsidR="00B061E9" w:rsidRPr="00C7593E" w:rsidRDefault="00B061E9" w:rsidP="00C7593E">
      <w:pPr>
        <w:jc w:val="both"/>
        <w:rPr>
          <w:spacing w:val="-4"/>
          <w:szCs w:val="22"/>
          <w:lang w:bidi="ps-AF"/>
        </w:rPr>
      </w:pPr>
      <w:r w:rsidRPr="00C7593E">
        <w:rPr>
          <w:spacing w:val="-4"/>
          <w:szCs w:val="22"/>
          <w:lang w:bidi="ps-AF"/>
        </w:rPr>
        <w:t>For the military the formula is different.</w:t>
      </w:r>
    </w:p>
    <w:p w:rsidR="00B061E9" w:rsidRPr="00C7593E" w:rsidRDefault="00B061E9" w:rsidP="00873EC3">
      <w:pPr>
        <w:pStyle w:val="ListParagraph"/>
        <w:numPr>
          <w:ilvl w:val="0"/>
          <w:numId w:val="26"/>
        </w:numPr>
        <w:jc w:val="both"/>
        <w:rPr>
          <w:spacing w:val="-4"/>
          <w:szCs w:val="22"/>
          <w:lang w:bidi="ps-AF"/>
        </w:rPr>
      </w:pPr>
      <w:r w:rsidRPr="00C7593E">
        <w:rPr>
          <w:spacing w:val="-4"/>
          <w:szCs w:val="22"/>
          <w:lang w:bidi="ps-AF"/>
        </w:rPr>
        <w:t>The pension entitlement accrues 2.35 per cent of an employee’s salary for each year of service from the first year.</w:t>
      </w:r>
    </w:p>
    <w:p w:rsidR="00B061E9" w:rsidRPr="00C7593E" w:rsidRDefault="00B061E9" w:rsidP="00873EC3">
      <w:pPr>
        <w:pStyle w:val="ListParagraph"/>
        <w:numPr>
          <w:ilvl w:val="0"/>
          <w:numId w:val="26"/>
        </w:numPr>
        <w:jc w:val="both"/>
        <w:rPr>
          <w:spacing w:val="-4"/>
          <w:szCs w:val="22"/>
          <w:lang w:bidi="ps-AF"/>
        </w:rPr>
      </w:pPr>
      <w:r w:rsidRPr="00C7593E">
        <w:rPr>
          <w:spacing w:val="-4"/>
          <w:szCs w:val="22"/>
          <w:lang w:bidi="ps-AF"/>
        </w:rPr>
        <w:t>Military personnel may retire between the age of 52 and 70 years of age depending rank and years of service.</w:t>
      </w:r>
    </w:p>
    <w:p w:rsidR="00B061E9" w:rsidRPr="00C7593E" w:rsidRDefault="00B061E9" w:rsidP="00C7593E">
      <w:pPr>
        <w:jc w:val="both"/>
        <w:rPr>
          <w:szCs w:val="22"/>
          <w:lang w:bidi="ps-AF"/>
        </w:rPr>
      </w:pPr>
      <w:r w:rsidRPr="00C7593E">
        <w:rPr>
          <w:szCs w:val="22"/>
          <w:lang w:bidi="ps-AF"/>
        </w:rPr>
        <w:t>Currently, the Government makes a contribution equal to eight per cent of an employee’s salary each year towards their pension and deducts eight per cent a year from the employee as a contribution. For the military, the government contributes 11 per cent per year and employees contribute five per cent from their salary. The Government’s contribution for both civil servants and military personnel is currently 100 per cent unfunded. This means that the Government does not make any provision for pension liabilities when they accrue and simply meets the pension payments in each year from recurrent resources. In addition, the Government currently does not save the employee contributions deducted each year, they are treated as receipts and used to meet recurrent payments in each fiscal year.</w:t>
      </w:r>
    </w:p>
    <w:p w:rsidR="00B061E9" w:rsidRPr="00C7593E" w:rsidRDefault="00B061E9" w:rsidP="00C7593E">
      <w:pPr>
        <w:jc w:val="both"/>
        <w:rPr>
          <w:szCs w:val="22"/>
          <w:lang w:bidi="ps-AF"/>
        </w:rPr>
      </w:pPr>
      <w:r w:rsidRPr="00C7593E">
        <w:rPr>
          <w:szCs w:val="22"/>
          <w:lang w:bidi="ps-AF"/>
        </w:rPr>
        <w:t>As a result, the Government is accruing a large and growing unfunded liability. The Government does not have accurate projections of the current and future unfunded pension liability.</w:t>
      </w:r>
    </w:p>
    <w:p w:rsidR="00692E65" w:rsidRPr="005A49D3" w:rsidRDefault="00692E65" w:rsidP="00B061E9">
      <w:pPr>
        <w:spacing w:line="0" w:lineRule="atLeast"/>
        <w:rPr>
          <w:rFonts w:asciiTheme="majorBidi" w:eastAsia="Corbel" w:hAnsiTheme="majorBidi" w:cstheme="majorBidi"/>
          <w:color w:val="727F72"/>
          <w:szCs w:val="22"/>
        </w:rPr>
      </w:pPr>
    </w:p>
    <w:p w:rsidR="00B061E9" w:rsidRPr="00FA58D9" w:rsidRDefault="00B061E9" w:rsidP="00FA58D9">
      <w:pPr>
        <w:pStyle w:val="Heading3"/>
        <w:rPr>
          <w:rFonts w:eastAsia="Corbel"/>
        </w:rPr>
      </w:pPr>
      <w:bookmarkStart w:id="140" w:name="_Toc535744308"/>
      <w:bookmarkStart w:id="141" w:name="_Toc535750237"/>
      <w:r w:rsidRPr="00FA58D9">
        <w:rPr>
          <w:rStyle w:val="Heading3Char"/>
          <w:rFonts w:eastAsia="Corbel"/>
          <w:b/>
        </w:rPr>
        <w:lastRenderedPageBreak/>
        <w:t>Parametric Reforms of the Pension Schemes of Public</w:t>
      </w:r>
      <w:r w:rsidRPr="00FA58D9">
        <w:rPr>
          <w:rFonts w:eastAsia="Corbel"/>
        </w:rPr>
        <w:t xml:space="preserve"> </w:t>
      </w:r>
      <w:r w:rsidRPr="00FA58D9">
        <w:rPr>
          <w:rStyle w:val="Heading3Char"/>
          <w:rFonts w:eastAsia="Corbel"/>
          <w:b/>
        </w:rPr>
        <w:t>Sector</w:t>
      </w:r>
      <w:bookmarkEnd w:id="140"/>
      <w:bookmarkEnd w:id="141"/>
      <w:r w:rsidRPr="00FA58D9">
        <w:rPr>
          <w:rStyle w:val="Heading3Char"/>
          <w:rFonts w:eastAsia="Corbel"/>
          <w:b/>
        </w:rPr>
        <w:t xml:space="preserve"> </w:t>
      </w:r>
    </w:p>
    <w:p w:rsidR="00B061E9" w:rsidRPr="000C26DE" w:rsidRDefault="00B061E9" w:rsidP="005A49D3">
      <w:pPr>
        <w:jc w:val="both"/>
        <w:rPr>
          <w:spacing w:val="-4"/>
          <w:szCs w:val="22"/>
          <w:lang w:bidi="ps-AF"/>
        </w:rPr>
      </w:pPr>
      <w:r w:rsidRPr="000C26DE">
        <w:rPr>
          <w:spacing w:val="-4"/>
          <w:szCs w:val="22"/>
          <w:lang w:bidi="ps-AF"/>
        </w:rPr>
        <w:t>Good pension systems are consist of the following principles:</w:t>
      </w:r>
    </w:p>
    <w:p w:rsidR="00B061E9" w:rsidRPr="000C26DE" w:rsidRDefault="00B061E9" w:rsidP="005A49D3">
      <w:pPr>
        <w:jc w:val="both"/>
        <w:rPr>
          <w:spacing w:val="-4"/>
          <w:szCs w:val="22"/>
          <w:lang w:bidi="ps-AF"/>
        </w:rPr>
      </w:pPr>
      <w:r w:rsidRPr="000C26DE">
        <w:rPr>
          <w:spacing w:val="-4"/>
          <w:szCs w:val="22"/>
          <w:lang w:bidi="ps-AF"/>
        </w:rPr>
        <w:t>(i) Providing adequate benefits (ii) affordable (iii) financially sustainable and (iv) administratively efficient (v) without causing economic and labor market distortions. ‘Good’ pension systems also cover a large, or at least steadily increasing, share of the labor force.</w:t>
      </w:r>
    </w:p>
    <w:p w:rsidR="00B061E9" w:rsidRPr="000C26DE" w:rsidRDefault="00B061E9" w:rsidP="005A49D3">
      <w:pPr>
        <w:jc w:val="both"/>
        <w:rPr>
          <w:spacing w:val="-4"/>
          <w:szCs w:val="22"/>
          <w:lang w:bidi="ps-AF"/>
        </w:rPr>
      </w:pPr>
      <w:r w:rsidRPr="000C26DE">
        <w:rPr>
          <w:spacing w:val="-4"/>
          <w:szCs w:val="22"/>
          <w:lang w:bidi="ps-AF"/>
        </w:rPr>
        <w:t xml:space="preserve">In contrast, the two existing pension schemes cover only around 7.5% of the labor force, which includes those who are in relatively privileged positions possessing stabile public sector jobs and does not likely belong to the 55% of the population who live below the poverty line. These narrow coverage pension schemes are on increasingly unaffordable and financially unsustainable paths, but even before their maturation, i.e. before the share of beneficiaries to contributors (system dependency ratio) starts to rapidly increase, they spend 0.5% - 0.6% of the GDP in a country where domestic revenue collection is at 12.3% of the GDP. As a result, the existing pension schemes (combined with the Martyrs and Disabled benefit scheme) are already affecting the execution of the social expenditures </w:t>
      </w:r>
      <w:r w:rsidR="00E0532A" w:rsidRPr="000C26DE">
        <w:rPr>
          <w:spacing w:val="-4"/>
          <w:szCs w:val="22"/>
          <w:lang w:bidi="ps-AF"/>
        </w:rPr>
        <w:t xml:space="preserve">to the poor and vulnerable. Meanwhile, </w:t>
      </w:r>
      <w:r w:rsidRPr="000C26DE">
        <w:rPr>
          <w:spacing w:val="-4"/>
          <w:szCs w:val="22"/>
          <w:lang w:bidi="ps-AF"/>
        </w:rPr>
        <w:t>even without calculating the recent ad hoc increases to benefits burdening the pension budget such as the special early retirement arrangements for classes of employees and increased allowances for education attainment levels, annual pension expenditures increase 14-16% annually in a 5% inflation environment. The pension system is a long-term financial construct, it should not be judged based on its less threatening annual balance figures at current low system and demographic dependency levels; instead consider that without urgent reforms, nominal pension expenditures will double in 5 years, triple in 8 years, quadruple in 10 years and will be 5 times as much later on, just like it was in 2018.</w:t>
      </w:r>
    </w:p>
    <w:p w:rsidR="00B061E9" w:rsidRPr="000C26DE" w:rsidRDefault="00B061E9" w:rsidP="005A49D3">
      <w:pPr>
        <w:jc w:val="both"/>
        <w:rPr>
          <w:spacing w:val="-4"/>
          <w:szCs w:val="22"/>
          <w:lang w:bidi="ps-AF"/>
        </w:rPr>
      </w:pPr>
      <w:r w:rsidRPr="000C26DE">
        <w:rPr>
          <w:spacing w:val="-4"/>
          <w:szCs w:val="22"/>
          <w:lang w:bidi="ps-AF"/>
        </w:rPr>
        <w:t>The issues with the pension system are further exacerbated by implementation issues. While the introduction of the pension MIS in Kabul and its expansion to the provinces with direct pension benefit payments to bank accounts and periodic biometric verification for proof of life has reduced and is continuing to reduce error, fraud and corruption, the status quo of pension administrations continues to be far from the provisions of the pension laws and regulations. In other words, the existing pension schemes are contributory schemes under which employees (i.e. civil servants and security forces personnel) and employers (i.e. the government) are obliged to pay wage proportional contributions. These contributions are used to pay current pension benefits and to generate pension reserves to pay for future pension liabilities. However, the contribution collection and the reserves accumulation features of the pension system are not operational in Afghanistan; an institution for Public Pension Fund, that would separate the implementation of the long-term construct pension system from the annual budget operations, does not exist. In fact, the payroll deductions for pension contributions (currently administered as budget revenue) only exist as an accounting entry without actual flows of funds and the government does not make payments in accordance with its wage proportional pension contribution obligation (or even less) under the pension laws and regulations. There is no system for alleviating the shocks of future fiscal shocks arriving through the rapid accumulation of pension liabilities.</w:t>
      </w:r>
    </w:p>
    <w:p w:rsidR="00B061E9" w:rsidRPr="000C26DE" w:rsidRDefault="00B061E9" w:rsidP="005A49D3">
      <w:pPr>
        <w:jc w:val="both"/>
        <w:rPr>
          <w:spacing w:val="-4"/>
          <w:szCs w:val="22"/>
          <w:lang w:bidi="ps-AF"/>
        </w:rPr>
      </w:pPr>
      <w:r w:rsidRPr="000C26DE">
        <w:rPr>
          <w:spacing w:val="-4"/>
          <w:szCs w:val="22"/>
          <w:lang w:bidi="ps-AF"/>
        </w:rPr>
        <w:t xml:space="preserve">Therefore, in April 2018 the Cabinet decided about a set of parametric pension reform measures with the primary objectives of improving the financial sustainability and affordability of the pension system. The reform measures of the defined benefits schemes includes; (i) a moderation in the accrual rate (i.e. what amount of pension will they earn in their one year of service), (ii) an increase in the employee’s contribution rate, (ii) lengthening of the averaging period of wages prior to retirement for the calculation of the reference wage, (iii) determining an age limit for the pension benefits of an alive person. The changes in the benefit formula would affect those retiring after the enactment of the reforms. </w:t>
      </w:r>
    </w:p>
    <w:p w:rsidR="00B061E9" w:rsidRPr="000C26DE" w:rsidRDefault="00B061E9" w:rsidP="005A49D3">
      <w:pPr>
        <w:jc w:val="both"/>
        <w:rPr>
          <w:spacing w:val="-4"/>
          <w:szCs w:val="22"/>
          <w:lang w:bidi="ps-AF"/>
        </w:rPr>
      </w:pPr>
      <w:r w:rsidRPr="000C26DE">
        <w:rPr>
          <w:spacing w:val="-4"/>
          <w:szCs w:val="22"/>
          <w:lang w:bidi="ps-AF"/>
        </w:rPr>
        <w:t>A benefit adequacy improvement reform feature is approved to be introduced along with the financial sustainability enhancement features, i.e. an automatic pension indexation. It will eventually maintain the purchase value of the pension benefits during the retired period of the life cycle; pensions will be increased automatically by 1.5% annually for 10 years after which indexation to inflation (changes in the consumer price index) will commence.</w:t>
      </w:r>
    </w:p>
    <w:p w:rsidR="00B061E9" w:rsidRPr="00C7593E" w:rsidRDefault="00B061E9" w:rsidP="005A49D3">
      <w:pPr>
        <w:jc w:val="both"/>
        <w:rPr>
          <w:szCs w:val="22"/>
          <w:lang w:bidi="ps-AF"/>
        </w:rPr>
      </w:pPr>
      <w:r w:rsidRPr="000C26DE">
        <w:rPr>
          <w:spacing w:val="-4"/>
          <w:szCs w:val="22"/>
          <w:lang w:bidi="ps-AF"/>
        </w:rPr>
        <w:t xml:space="preserve">The Cabinet also approved that a distinct Public Pension Fund is to be established to separate the finances of the pension system from the annual budget implementation cycle, i.e. to collect </w:t>
      </w:r>
      <w:r w:rsidRPr="000C26DE">
        <w:rPr>
          <w:spacing w:val="-4"/>
          <w:szCs w:val="22"/>
          <w:lang w:bidi="ps-AF"/>
        </w:rPr>
        <w:lastRenderedPageBreak/>
        <w:t>employee’s contributions, to transfer the current financing needs to the Pension Department for current pension benefit payments, and to manage the reserves of the pension systems. These measures are currently being embedded in the applicable laws and regulations for enactment. Simultaneously, further reform preparation measures are in place to set the governance arrangements of the Public Pension Fund and to design investment management practices, likely with the use of SUKUK instruments, government would prevent a fiscal cash flow shock when it will start paying its full contribution obligation to the Public Pension Fund as an employer.</w:t>
      </w:r>
    </w:p>
    <w:p w:rsidR="00EA09AE" w:rsidRPr="00FA58D9" w:rsidRDefault="00B061E9" w:rsidP="00FA58D9">
      <w:pPr>
        <w:pStyle w:val="Heading2"/>
      </w:pPr>
      <w:bookmarkStart w:id="142" w:name="_Toc535744309"/>
      <w:bookmarkStart w:id="143" w:name="_Toc535750238"/>
      <w:r w:rsidRPr="00FA58D9">
        <w:t>Public Private Partnership (PPPs)</w:t>
      </w:r>
      <w:bookmarkEnd w:id="142"/>
      <w:bookmarkEnd w:id="143"/>
    </w:p>
    <w:p w:rsidR="00CD2886" w:rsidRPr="000C26DE" w:rsidRDefault="00CD2886" w:rsidP="00CD2886">
      <w:pPr>
        <w:jc w:val="both"/>
        <w:rPr>
          <w:spacing w:val="-4"/>
          <w:szCs w:val="22"/>
          <w:lang w:bidi="ps-AF"/>
        </w:rPr>
      </w:pPr>
      <w:r w:rsidRPr="000C26DE">
        <w:rPr>
          <w:spacing w:val="-4"/>
          <w:szCs w:val="22"/>
          <w:lang w:bidi="ps-AF"/>
        </w:rPr>
        <w:t>Afghan Government adopted Public Private Partnership (PPP) on top of the macroeconomic policy with an aim to deliver services and build physical infrastructures, attract private sector entrepreneurship skills, use public properties and assets efficiently and to exploit capitals existing in the private sector and banks in an effective manner. Afghan Government has achieved the following in order to realize the above mentioned targets:</w:t>
      </w:r>
    </w:p>
    <w:p w:rsidR="00CD2886" w:rsidRPr="000C26DE" w:rsidRDefault="00CD2886" w:rsidP="00CD2886">
      <w:pPr>
        <w:jc w:val="both"/>
        <w:rPr>
          <w:spacing w:val="-4"/>
          <w:szCs w:val="22"/>
          <w:lang w:bidi="ps-AF"/>
        </w:rPr>
      </w:pPr>
      <w:r w:rsidRPr="000C26DE">
        <w:rPr>
          <w:spacing w:val="-4"/>
          <w:szCs w:val="22"/>
          <w:lang w:bidi="ps-AF"/>
        </w:rPr>
        <w:t xml:space="preserve">Public Private Partnership Law has been approved by the cabinet and issued based on a presidential decree, published in the official gazette 1228 and enacted accordingly. MoF has started its legal and administrative framework in accordance with the PPP law and is processing partnership projects. </w:t>
      </w:r>
    </w:p>
    <w:p w:rsidR="00CD2886" w:rsidRPr="000C26DE" w:rsidRDefault="00CD2886" w:rsidP="00CD2886">
      <w:pPr>
        <w:jc w:val="both"/>
        <w:rPr>
          <w:spacing w:val="-4"/>
          <w:szCs w:val="22"/>
          <w:lang w:bidi="ps-AF"/>
        </w:rPr>
      </w:pPr>
      <w:r w:rsidRPr="000C26DE">
        <w:rPr>
          <w:spacing w:val="-4"/>
          <w:szCs w:val="22"/>
          <w:lang w:bidi="ps-AF"/>
        </w:rPr>
        <w:t>The Law, policy, standard partnership documents that include prior competency assessment notice, Request for proposal, partnership contract models, standard forms and check lists, document evaluating proper project</w:t>
      </w:r>
      <w:r w:rsidRPr="000C26DE">
        <w:rPr>
          <w:spacing w:val="-4"/>
          <w:szCs w:val="22"/>
          <w:rtl/>
          <w:lang w:bidi="ps-AF"/>
        </w:rPr>
        <w:t xml:space="preserve"> </w:t>
      </w:r>
      <w:r w:rsidRPr="000C26DE">
        <w:rPr>
          <w:spacing w:val="-4"/>
          <w:szCs w:val="22"/>
          <w:lang w:bidi="ps-AF"/>
        </w:rPr>
        <w:t xml:space="preserve">implementation and prioritization through partnership and working guidelines have been developed and finalized for administrations use. </w:t>
      </w:r>
    </w:p>
    <w:p w:rsidR="00CD2886" w:rsidRPr="000C26DE" w:rsidRDefault="00CD2886" w:rsidP="00CD2886">
      <w:pPr>
        <w:jc w:val="both"/>
        <w:rPr>
          <w:spacing w:val="-4"/>
          <w:szCs w:val="22"/>
          <w:lang w:bidi="ps-AF"/>
        </w:rPr>
      </w:pPr>
      <w:r w:rsidRPr="000C26DE">
        <w:rPr>
          <w:spacing w:val="-4"/>
          <w:szCs w:val="22"/>
          <w:lang w:bidi="ps-AF"/>
        </w:rPr>
        <w:t xml:space="preserve">The partnership administrative framework has been established in accordance with the PPP law containing establishment of Central Unit in the Ministry of Finance and project units within line ministries. General Directorate of PPP was established as a central unit in mid-2017 leading all partnership activities in country. </w:t>
      </w:r>
    </w:p>
    <w:p w:rsidR="00CD2886" w:rsidRPr="000C26DE" w:rsidRDefault="00CD2886" w:rsidP="00CD2886">
      <w:pPr>
        <w:jc w:val="both"/>
        <w:rPr>
          <w:spacing w:val="-4"/>
          <w:szCs w:val="22"/>
          <w:lang w:bidi="ps-AF"/>
        </w:rPr>
      </w:pPr>
      <w:r w:rsidRPr="000C26DE">
        <w:rPr>
          <w:spacing w:val="-4"/>
          <w:szCs w:val="22"/>
          <w:lang w:bidi="ps-AF"/>
        </w:rPr>
        <w:t xml:space="preserve">MoF has conducted more than 40 national and 6 international programs for the purposes of capacity building and awareness covering government officials and employees, entrepreneurs, university lecturers, academicians, civil society members, media and other stakeholders. 30 government employees received Partnership Certification Program which is an internationally known program and received certificates of its first module. </w:t>
      </w:r>
    </w:p>
    <w:p w:rsidR="00CD2886" w:rsidRPr="000C26DE" w:rsidRDefault="00CD2886" w:rsidP="00CD2886">
      <w:pPr>
        <w:jc w:val="both"/>
        <w:rPr>
          <w:spacing w:val="-4"/>
          <w:szCs w:val="22"/>
          <w:lang w:bidi="ps-AF"/>
        </w:rPr>
      </w:pPr>
      <w:r w:rsidRPr="000C26DE">
        <w:rPr>
          <w:spacing w:val="-4"/>
          <w:szCs w:val="22"/>
          <w:lang w:bidi="ps-AF"/>
        </w:rPr>
        <w:t xml:space="preserve">The PPP five year plan is developed in coordination with all respective parties strengthening PPP communication with stakeholders in general. Also, a list of PPP potential projects including projects of various afghan government ministries and entities as of primary sectors, services, </w:t>
      </w:r>
      <w:r w:rsidR="00F31119" w:rsidRPr="000C26DE">
        <w:rPr>
          <w:spacing w:val="-4"/>
          <w:szCs w:val="22"/>
          <w:lang w:bidi="ps-AF"/>
        </w:rPr>
        <w:t>and agriculture</w:t>
      </w:r>
      <w:r w:rsidRPr="000C26DE">
        <w:rPr>
          <w:spacing w:val="-4"/>
          <w:szCs w:val="22"/>
          <w:lang w:bidi="ps-AF"/>
        </w:rPr>
        <w:t>, energy and transport sectors.</w:t>
      </w:r>
    </w:p>
    <w:p w:rsidR="00CD2886" w:rsidRPr="000C26DE" w:rsidRDefault="00CD2886" w:rsidP="00CD2886">
      <w:pPr>
        <w:jc w:val="both"/>
        <w:rPr>
          <w:spacing w:val="-4"/>
          <w:szCs w:val="22"/>
          <w:lang w:bidi="ps-AF"/>
        </w:rPr>
      </w:pPr>
      <w:r w:rsidRPr="000C26DE">
        <w:rPr>
          <w:spacing w:val="-4"/>
          <w:szCs w:val="22"/>
          <w:lang w:bidi="ps-AF"/>
        </w:rPr>
        <w:t>The High Economic Council confirmed 17 projects scheme (Water network construction in Kabul districts 12 and 22, Janah and Jamhoriat Hospitals, electronic jawaz sair distribution, solid waste scheme in Kabul, precious stones bazaar, producing electricity from Sheberghan Gas, Kajaki dam second phase, Kandahar solar power, construction of 5 slaughterhouses in Herat, Mazar, Kunduz and Kabul, Baghdara power dam, Surobi second phase, Naghlo and Hesar Shahi solar power, diagnostic equipment installation scheme in Shaikh Zaid and Wazir Akbar Khan).</w:t>
      </w:r>
    </w:p>
    <w:p w:rsidR="00CD2886" w:rsidRPr="000C26DE" w:rsidRDefault="00CD2886" w:rsidP="00CD2886">
      <w:pPr>
        <w:jc w:val="both"/>
        <w:rPr>
          <w:spacing w:val="-4"/>
          <w:szCs w:val="22"/>
          <w:lang w:bidi="ps-AF"/>
        </w:rPr>
      </w:pPr>
      <w:r w:rsidRPr="000C26DE">
        <w:rPr>
          <w:spacing w:val="-4"/>
          <w:szCs w:val="22"/>
          <w:lang w:bidi="ps-AF"/>
        </w:rPr>
        <w:t>The HEC has approved feasibility study and financial model of 13 PPP projects which in accordance with the PPP law accounts for second phase of partnership projects. Projects with approved feasibility study and financial model include Kajaki 100 MW power dam, production of 90 MW power from Sheberghan Gas (by Ghazanfar Group and Bayat Power), five slaughterhouses in Herat, Kunduz, Mazar and Kabul, Baghdara Power dam, Surobi second phase, Naghlo and Hesar Shahi Solar power, installation of diagnostic equipment in Shaik Zaid and Wazir Akbar Khan hospitals, Janah and Jamhoriat hospitals and production of 30 MW solar energy in Kandahar.</w:t>
      </w:r>
    </w:p>
    <w:p w:rsidR="00CD2886" w:rsidRPr="000C26DE" w:rsidRDefault="00CD2886" w:rsidP="00CD2886">
      <w:pPr>
        <w:jc w:val="both"/>
        <w:rPr>
          <w:spacing w:val="-4"/>
          <w:szCs w:val="22"/>
          <w:lang w:bidi="ps-AF"/>
        </w:rPr>
      </w:pPr>
      <w:r w:rsidRPr="000C26DE">
        <w:rPr>
          <w:spacing w:val="-4"/>
          <w:szCs w:val="22"/>
          <w:lang w:bidi="ps-AF"/>
        </w:rPr>
        <w:t>National Procurement Commission has awarded contracts of five energy projects (second phase of the Kajaki Power dam, Kandahar Solar, Sheberghan gas) in accordance with the PPP Law.</w:t>
      </w:r>
    </w:p>
    <w:p w:rsidR="00CD2886" w:rsidRPr="000C26DE" w:rsidRDefault="00CD2886" w:rsidP="00CD2886">
      <w:pPr>
        <w:jc w:val="both"/>
        <w:rPr>
          <w:spacing w:val="-4"/>
          <w:szCs w:val="22"/>
          <w:lang w:bidi="ps-AF"/>
        </w:rPr>
      </w:pPr>
      <w:r w:rsidRPr="000C26DE">
        <w:rPr>
          <w:spacing w:val="-4"/>
          <w:szCs w:val="22"/>
          <w:lang w:bidi="ps-AF"/>
        </w:rPr>
        <w:t xml:space="preserve">Respective departments and PPP have practically started implementation of five projects approved by the NPC, contracts of which have been signed by the government and private sector partners. </w:t>
      </w:r>
    </w:p>
    <w:p w:rsidR="00CD2886" w:rsidRPr="00FA58D9" w:rsidRDefault="00CD2886" w:rsidP="00FA58D9">
      <w:pPr>
        <w:pStyle w:val="Heading3"/>
      </w:pPr>
      <w:bookmarkStart w:id="144" w:name="_Toc535744310"/>
      <w:bookmarkStart w:id="145" w:name="_Toc535750239"/>
      <w:bookmarkStart w:id="146" w:name="_Toc529110329"/>
      <w:r w:rsidRPr="00FA58D9">
        <w:lastRenderedPageBreak/>
        <w:t>Government direct and likely commitments and risks to PPP projects</w:t>
      </w:r>
      <w:bookmarkEnd w:id="144"/>
      <w:bookmarkEnd w:id="145"/>
    </w:p>
    <w:p w:rsidR="00CD2886" w:rsidRPr="000C26DE" w:rsidRDefault="00CD2886" w:rsidP="00CD2886">
      <w:pPr>
        <w:jc w:val="both"/>
        <w:rPr>
          <w:spacing w:val="-4"/>
          <w:szCs w:val="22"/>
          <w:lang w:bidi="ps-AF"/>
        </w:rPr>
      </w:pPr>
      <w:r w:rsidRPr="000C26DE">
        <w:rPr>
          <w:spacing w:val="-4"/>
          <w:szCs w:val="22"/>
          <w:lang w:bidi="ps-AF"/>
        </w:rPr>
        <w:t xml:space="preserve">PPP projects having in view their nature are normally long term projects which at circumstances may take decades. As one of the two main partners (government and private sector), the government significantly contributes in recognition, preparation, procurement, implementation and oversight of the PPP projects and pledges commitments that will make government take on responsibilities and fiscal risks both in short and long term including direct and likely commitments. Direct commitments are commitments the time and amount of which will be included in the PPP contracts like Viability Gap Fund, Letter of Credit, custom exemption and etc. that clearly direct responsibilities towards the government in a specific time. Indirect state commitments include all types of state guarantees related to project risk deduction involving performance guarantee of ministries, agencies, state enterprises and corporations, security guarantees, project implementing companies loan guarantee (Partial Risk Guarantee), guarantee against unexpected political and non-political incidents and all other types of guarantees and commitments. Following is the government commitments for every project signed: </w:t>
      </w:r>
      <w:bookmarkEnd w:id="146"/>
    </w:p>
    <w:p w:rsidR="00CD2886" w:rsidRPr="005A49D3" w:rsidRDefault="00CD2886" w:rsidP="00F23169">
      <w:pPr>
        <w:pStyle w:val="Heading4"/>
        <w:rPr>
          <w:lang w:bidi="ps-AF"/>
        </w:rPr>
      </w:pPr>
      <w:r w:rsidRPr="005A49D3">
        <w:rPr>
          <w:lang w:bidi="ps-AF"/>
        </w:rPr>
        <w:t>Sheberghan Gas Power Plant Project</w:t>
      </w:r>
    </w:p>
    <w:p w:rsidR="00CD2886" w:rsidRPr="000C26DE" w:rsidRDefault="00CD2886" w:rsidP="005A49D3">
      <w:pPr>
        <w:jc w:val="both"/>
        <w:rPr>
          <w:spacing w:val="-4"/>
          <w:szCs w:val="22"/>
          <w:lang w:bidi="ps-AF"/>
        </w:rPr>
      </w:pPr>
      <w:r w:rsidRPr="000C26DE">
        <w:rPr>
          <w:spacing w:val="-4"/>
          <w:szCs w:val="22"/>
          <w:lang w:bidi="ps-AF"/>
        </w:rPr>
        <w:t>A 40 Megawatt gas power plant will be constructed in Jawzjan. The project duration of contract is five years and in relation to that, government holds the following direct and likely commitments:</w:t>
      </w:r>
    </w:p>
    <w:p w:rsidR="00CD2886" w:rsidRPr="005A49D3" w:rsidRDefault="00CD2886" w:rsidP="00873EC3">
      <w:pPr>
        <w:pStyle w:val="ListParagraph"/>
        <w:numPr>
          <w:ilvl w:val="0"/>
          <w:numId w:val="7"/>
        </w:numPr>
        <w:spacing w:after="120" w:line="276" w:lineRule="auto"/>
        <w:contextualSpacing w:val="0"/>
        <w:jc w:val="both"/>
        <w:rPr>
          <w:rFonts w:asciiTheme="majorBidi" w:hAnsiTheme="majorBidi" w:cstheme="majorBidi"/>
          <w:b/>
          <w:bCs/>
          <w:szCs w:val="22"/>
          <w:lang w:bidi="ps-AF"/>
        </w:rPr>
      </w:pPr>
      <w:r w:rsidRPr="005A49D3">
        <w:rPr>
          <w:rFonts w:asciiTheme="majorBidi" w:hAnsiTheme="majorBidi" w:cstheme="majorBidi"/>
          <w:b/>
          <w:bCs/>
          <w:szCs w:val="22"/>
          <w:lang w:bidi="ps-AF"/>
        </w:rPr>
        <w:t>Direct Commitments:</w:t>
      </w:r>
    </w:p>
    <w:p w:rsidR="00CD2886" w:rsidRPr="000C26DE" w:rsidRDefault="00CD2886" w:rsidP="00312B80">
      <w:pPr>
        <w:pStyle w:val="ListParagraph"/>
        <w:numPr>
          <w:ilvl w:val="0"/>
          <w:numId w:val="42"/>
        </w:numPr>
        <w:ind w:left="720"/>
        <w:jc w:val="both"/>
        <w:rPr>
          <w:spacing w:val="-4"/>
          <w:szCs w:val="22"/>
          <w:lang w:bidi="ps-AF"/>
        </w:rPr>
      </w:pPr>
      <w:r w:rsidRPr="000C26DE">
        <w:rPr>
          <w:spacing w:val="-4"/>
          <w:szCs w:val="22"/>
          <w:lang w:bidi="ps-AF"/>
        </w:rPr>
        <w:t>Letter of credit and deposit account totaling to 15,300,000 USD for the purposes of guaranteeing DABS payments to project implementing company.</w:t>
      </w:r>
    </w:p>
    <w:p w:rsidR="00CD2886" w:rsidRPr="005A49D3" w:rsidRDefault="00CD2886" w:rsidP="005A49D3">
      <w:pPr>
        <w:pStyle w:val="ListParagraph"/>
        <w:jc w:val="both"/>
        <w:rPr>
          <w:rFonts w:asciiTheme="majorBidi" w:hAnsiTheme="majorBidi" w:cstheme="majorBidi"/>
          <w:szCs w:val="22"/>
          <w:lang w:bidi="ps-AF"/>
        </w:rPr>
      </w:pPr>
    </w:p>
    <w:p w:rsidR="00CD2886" w:rsidRPr="005A49D3" w:rsidRDefault="00CD2886" w:rsidP="00873EC3">
      <w:pPr>
        <w:pStyle w:val="ListParagraph"/>
        <w:numPr>
          <w:ilvl w:val="0"/>
          <w:numId w:val="7"/>
        </w:numPr>
        <w:spacing w:after="120" w:line="276" w:lineRule="auto"/>
        <w:contextualSpacing w:val="0"/>
        <w:jc w:val="both"/>
        <w:rPr>
          <w:rFonts w:asciiTheme="majorBidi" w:hAnsiTheme="majorBidi" w:cstheme="majorBidi"/>
          <w:b/>
          <w:bCs/>
          <w:szCs w:val="22"/>
          <w:lang w:bidi="ps-AF"/>
        </w:rPr>
      </w:pPr>
      <w:r w:rsidRPr="005A49D3">
        <w:rPr>
          <w:rFonts w:asciiTheme="majorBidi" w:hAnsiTheme="majorBidi" w:cstheme="majorBidi"/>
          <w:b/>
          <w:bCs/>
          <w:szCs w:val="22"/>
          <w:lang w:bidi="ps-AF"/>
        </w:rPr>
        <w:t>Indirect Commitments:</w:t>
      </w:r>
    </w:p>
    <w:p w:rsidR="00CD2886" w:rsidRPr="000C26DE" w:rsidRDefault="00CD2886" w:rsidP="000C26DE">
      <w:pPr>
        <w:pStyle w:val="ListParagraph"/>
        <w:numPr>
          <w:ilvl w:val="0"/>
          <w:numId w:val="38"/>
        </w:numPr>
        <w:jc w:val="both"/>
        <w:rPr>
          <w:spacing w:val="-4"/>
          <w:szCs w:val="22"/>
          <w:lang w:bidi="ps-AF"/>
        </w:rPr>
      </w:pPr>
      <w:r w:rsidRPr="000C26DE">
        <w:rPr>
          <w:spacing w:val="-4"/>
          <w:szCs w:val="22"/>
          <w:lang w:bidi="ps-AF"/>
        </w:rPr>
        <w:t>Compensation in the case of contract dismissal due to DABS negligence and occurrence of unexpected political incident;</w:t>
      </w:r>
    </w:p>
    <w:p w:rsidR="00CD2886" w:rsidRPr="000C26DE" w:rsidRDefault="00CD2886" w:rsidP="000C26DE">
      <w:pPr>
        <w:pStyle w:val="ListParagraph"/>
        <w:numPr>
          <w:ilvl w:val="0"/>
          <w:numId w:val="38"/>
        </w:numPr>
        <w:jc w:val="both"/>
        <w:rPr>
          <w:spacing w:val="-4"/>
          <w:szCs w:val="22"/>
          <w:lang w:bidi="ps-AF"/>
        </w:rPr>
      </w:pPr>
      <w:r w:rsidRPr="000C26DE">
        <w:rPr>
          <w:spacing w:val="-4"/>
          <w:szCs w:val="22"/>
          <w:lang w:bidi="ps-AF"/>
        </w:rPr>
        <w:t>Compensation when the power purchasing contract is dismissed due to occurrence of unexpected political incident;</w:t>
      </w:r>
    </w:p>
    <w:p w:rsidR="00CD2886" w:rsidRPr="00312B80" w:rsidRDefault="00CD2886" w:rsidP="00312B80">
      <w:pPr>
        <w:pStyle w:val="Heading4"/>
      </w:pPr>
      <w:r w:rsidRPr="00312B80">
        <w:t xml:space="preserve">Mazar-e-Sharif Gas Power Plant Project </w:t>
      </w:r>
    </w:p>
    <w:p w:rsidR="00CD2886" w:rsidRPr="00D95123" w:rsidRDefault="00CD2886" w:rsidP="005A49D3">
      <w:pPr>
        <w:jc w:val="both"/>
        <w:rPr>
          <w:spacing w:val="-4"/>
          <w:szCs w:val="22"/>
          <w:lang w:bidi="ps-AF"/>
        </w:rPr>
      </w:pPr>
      <w:r w:rsidRPr="00D95123">
        <w:rPr>
          <w:spacing w:val="-4"/>
          <w:szCs w:val="22"/>
          <w:lang w:bidi="ps-AF"/>
        </w:rPr>
        <w:t xml:space="preserve">A 50 Megawatt Gas Power Plan will be constructed in Balkh province and government’s direct and likely commitments to this project include: </w:t>
      </w:r>
    </w:p>
    <w:p w:rsidR="00CD2886" w:rsidRPr="00F23169" w:rsidRDefault="00CD2886" w:rsidP="00873EC3">
      <w:pPr>
        <w:pStyle w:val="ListParagraph"/>
        <w:numPr>
          <w:ilvl w:val="3"/>
          <w:numId w:val="7"/>
        </w:numPr>
        <w:spacing w:after="120" w:line="276" w:lineRule="auto"/>
        <w:ind w:left="360" w:firstLine="0"/>
        <w:contextualSpacing w:val="0"/>
        <w:jc w:val="both"/>
        <w:rPr>
          <w:rFonts w:cstheme="majorBidi"/>
          <w:szCs w:val="22"/>
          <w:lang w:bidi="ps-AF"/>
        </w:rPr>
      </w:pPr>
      <w:r w:rsidRPr="00F23169">
        <w:rPr>
          <w:rFonts w:cstheme="majorBidi"/>
          <w:b/>
          <w:bCs/>
          <w:szCs w:val="22"/>
          <w:lang w:bidi="ps-AF"/>
        </w:rPr>
        <w:t>Direct Commitments:</w:t>
      </w:r>
    </w:p>
    <w:p w:rsidR="00CD2886" w:rsidRPr="00F23169" w:rsidRDefault="00CD2886" w:rsidP="00F23169">
      <w:pPr>
        <w:ind w:left="360"/>
        <w:jc w:val="both"/>
        <w:rPr>
          <w:szCs w:val="22"/>
          <w:lang w:bidi="ps-AF"/>
        </w:rPr>
      </w:pPr>
      <w:r w:rsidRPr="00F23169">
        <w:rPr>
          <w:szCs w:val="22"/>
          <w:lang w:bidi="ps-AF"/>
        </w:rPr>
        <w:t>Guaranteeing transitional payments in the shape of letter of credit amounting to USD 5 million until long term payment guarantees are provided;</w:t>
      </w:r>
    </w:p>
    <w:p w:rsidR="00CD2886" w:rsidRPr="00F23169" w:rsidRDefault="00CD2886" w:rsidP="00873EC3">
      <w:pPr>
        <w:pStyle w:val="ListParagraph"/>
        <w:numPr>
          <w:ilvl w:val="3"/>
          <w:numId w:val="7"/>
        </w:numPr>
        <w:spacing w:after="120" w:line="276" w:lineRule="auto"/>
        <w:ind w:left="360" w:firstLine="0"/>
        <w:contextualSpacing w:val="0"/>
        <w:jc w:val="both"/>
        <w:rPr>
          <w:rFonts w:cstheme="majorBidi"/>
          <w:b/>
          <w:bCs/>
          <w:szCs w:val="22"/>
          <w:lang w:bidi="ps-AF"/>
        </w:rPr>
      </w:pPr>
      <w:r w:rsidRPr="00F23169">
        <w:rPr>
          <w:rFonts w:cstheme="majorBidi"/>
          <w:b/>
          <w:bCs/>
          <w:szCs w:val="22"/>
          <w:lang w:bidi="ps-AF"/>
        </w:rPr>
        <w:t>Likely commitments:</w:t>
      </w:r>
    </w:p>
    <w:p w:rsidR="00CD2886" w:rsidRPr="00D95123" w:rsidRDefault="00CD2886" w:rsidP="00D95123">
      <w:pPr>
        <w:pStyle w:val="ListParagraph"/>
        <w:numPr>
          <w:ilvl w:val="0"/>
          <w:numId w:val="39"/>
        </w:numPr>
        <w:jc w:val="both"/>
        <w:rPr>
          <w:spacing w:val="-4"/>
          <w:szCs w:val="22"/>
          <w:lang w:bidi="ps-AF"/>
        </w:rPr>
      </w:pPr>
      <w:r w:rsidRPr="00D95123">
        <w:rPr>
          <w:spacing w:val="-4"/>
          <w:szCs w:val="22"/>
          <w:lang w:bidi="ps-AF"/>
        </w:rPr>
        <w:t>Guaranteeing payments by the end of contract in the shape of letter of credit amounting to USD 10 million which will be provided by IDA (Section of World Bank), if that is not provided by the mentioned entity, the Afghan government shall hold that guarantee;</w:t>
      </w:r>
    </w:p>
    <w:p w:rsidR="00CD2886" w:rsidRPr="00D95123" w:rsidRDefault="00CD2886" w:rsidP="00D95123">
      <w:pPr>
        <w:pStyle w:val="ListParagraph"/>
        <w:numPr>
          <w:ilvl w:val="0"/>
          <w:numId w:val="39"/>
        </w:numPr>
        <w:jc w:val="both"/>
        <w:rPr>
          <w:spacing w:val="-4"/>
          <w:szCs w:val="22"/>
          <w:lang w:bidi="ps-AF"/>
        </w:rPr>
      </w:pPr>
      <w:r w:rsidRPr="00D95123">
        <w:rPr>
          <w:spacing w:val="-4"/>
          <w:szCs w:val="22"/>
          <w:lang w:bidi="ps-AF"/>
        </w:rPr>
        <w:t>Compensation if the power purchasing contract is dismissed due to occurrence of unexpected political incident;</w:t>
      </w:r>
    </w:p>
    <w:p w:rsidR="00CD2886" w:rsidRPr="00D95123" w:rsidRDefault="00CD2886" w:rsidP="00D95123">
      <w:pPr>
        <w:pStyle w:val="ListParagraph"/>
        <w:numPr>
          <w:ilvl w:val="0"/>
          <w:numId w:val="39"/>
        </w:numPr>
        <w:jc w:val="both"/>
        <w:rPr>
          <w:spacing w:val="-4"/>
          <w:szCs w:val="22"/>
          <w:lang w:bidi="ps-AF"/>
        </w:rPr>
      </w:pPr>
      <w:r w:rsidRPr="00D95123">
        <w:rPr>
          <w:spacing w:val="-4"/>
          <w:szCs w:val="22"/>
          <w:lang w:bidi="ps-AF"/>
        </w:rPr>
        <w:t>Compensation when an unexpected incident occurs;</w:t>
      </w:r>
    </w:p>
    <w:p w:rsidR="00CD2886" w:rsidRPr="00312B80" w:rsidRDefault="00CD2886" w:rsidP="00312B80">
      <w:pPr>
        <w:pStyle w:val="Heading4"/>
      </w:pPr>
      <w:r w:rsidRPr="00312B80">
        <w:t>Kandahar Solar Power Project:</w:t>
      </w:r>
    </w:p>
    <w:p w:rsidR="00CD2886" w:rsidRPr="00D95123" w:rsidRDefault="00CD2886" w:rsidP="005A49D3">
      <w:pPr>
        <w:jc w:val="both"/>
        <w:rPr>
          <w:szCs w:val="22"/>
          <w:lang w:bidi="ps-AF"/>
        </w:rPr>
      </w:pPr>
      <w:r w:rsidRPr="00D95123">
        <w:rPr>
          <w:szCs w:val="22"/>
          <w:lang w:bidi="ps-AF"/>
        </w:rPr>
        <w:t xml:space="preserve">The Kandahar Solar Power Project will be established in this province with a capacity of 30 Megawatts of electricity and government’s direct and likely commitments to that include the following: </w:t>
      </w:r>
    </w:p>
    <w:p w:rsidR="00CD2886" w:rsidRPr="00F23169" w:rsidRDefault="00CD2886" w:rsidP="00873EC3">
      <w:pPr>
        <w:pStyle w:val="ListParagraph"/>
        <w:numPr>
          <w:ilvl w:val="6"/>
          <w:numId w:val="7"/>
        </w:numPr>
        <w:spacing w:after="120" w:line="276" w:lineRule="auto"/>
        <w:ind w:left="360" w:firstLine="0"/>
        <w:contextualSpacing w:val="0"/>
        <w:jc w:val="both"/>
        <w:rPr>
          <w:rFonts w:cstheme="majorBidi"/>
          <w:szCs w:val="22"/>
          <w:lang w:bidi="ps-AF"/>
        </w:rPr>
      </w:pPr>
      <w:r w:rsidRPr="00F23169">
        <w:rPr>
          <w:rFonts w:cstheme="majorBidi"/>
          <w:b/>
          <w:bCs/>
          <w:szCs w:val="22"/>
          <w:lang w:bidi="ps-AF"/>
        </w:rPr>
        <w:t xml:space="preserve">Direct Commitments: </w:t>
      </w:r>
    </w:p>
    <w:p w:rsidR="00CD2886" w:rsidRPr="00F23169" w:rsidRDefault="00CD2886" w:rsidP="005A49D3">
      <w:pPr>
        <w:jc w:val="both"/>
        <w:rPr>
          <w:szCs w:val="22"/>
          <w:lang w:bidi="ps-AF"/>
        </w:rPr>
      </w:pPr>
      <w:r w:rsidRPr="00F23169">
        <w:rPr>
          <w:szCs w:val="22"/>
          <w:lang w:bidi="ps-AF"/>
        </w:rPr>
        <w:t>Provide Viability Fund in accordance with agreed timeframe amounting to USD 14 million to two implementing companies for the purposes of filling project financial gap;</w:t>
      </w:r>
    </w:p>
    <w:p w:rsidR="00CD2886" w:rsidRPr="00F23169" w:rsidRDefault="00CD2886" w:rsidP="00873EC3">
      <w:pPr>
        <w:pStyle w:val="ListParagraph"/>
        <w:numPr>
          <w:ilvl w:val="6"/>
          <w:numId w:val="7"/>
        </w:numPr>
        <w:spacing w:after="120" w:line="276" w:lineRule="auto"/>
        <w:ind w:left="360" w:firstLine="0"/>
        <w:contextualSpacing w:val="0"/>
        <w:jc w:val="both"/>
        <w:rPr>
          <w:rFonts w:cstheme="majorBidi"/>
          <w:b/>
          <w:bCs/>
          <w:szCs w:val="22"/>
          <w:lang w:bidi="ps-AF"/>
        </w:rPr>
      </w:pPr>
      <w:r w:rsidRPr="00F23169">
        <w:rPr>
          <w:rFonts w:cstheme="majorBidi"/>
          <w:b/>
          <w:bCs/>
          <w:szCs w:val="22"/>
          <w:lang w:bidi="ps-AF"/>
        </w:rPr>
        <w:lastRenderedPageBreak/>
        <w:t>Likely commitments:</w:t>
      </w:r>
    </w:p>
    <w:p w:rsidR="00CD2886" w:rsidRPr="00D95123" w:rsidRDefault="00CD2886" w:rsidP="005A49D3">
      <w:pPr>
        <w:jc w:val="both"/>
        <w:rPr>
          <w:spacing w:val="-4"/>
          <w:szCs w:val="22"/>
          <w:lang w:bidi="ps-AF"/>
        </w:rPr>
      </w:pPr>
      <w:r w:rsidRPr="00D95123">
        <w:rPr>
          <w:spacing w:val="-4"/>
          <w:szCs w:val="22"/>
          <w:lang w:bidi="ps-AF"/>
        </w:rPr>
        <w:t>The GIRoA has responsibility to compensate project implementing companies where an unexpected political and non-political incident occurs;</w:t>
      </w:r>
    </w:p>
    <w:p w:rsidR="00CD2886" w:rsidRPr="00312B80" w:rsidRDefault="00CD2886" w:rsidP="00312B80">
      <w:pPr>
        <w:pStyle w:val="Heading4"/>
      </w:pPr>
      <w:r w:rsidRPr="00312B80">
        <w:t>Kajaki Power Plant second phase:</w:t>
      </w:r>
    </w:p>
    <w:p w:rsidR="00CD2886" w:rsidRPr="00D95123" w:rsidRDefault="00CD2886" w:rsidP="005A49D3">
      <w:pPr>
        <w:jc w:val="both"/>
        <w:rPr>
          <w:spacing w:val="-4"/>
          <w:szCs w:val="22"/>
          <w:lang w:bidi="ps-AF"/>
        </w:rPr>
      </w:pPr>
      <w:r w:rsidRPr="00D95123">
        <w:rPr>
          <w:spacing w:val="-4"/>
          <w:szCs w:val="22"/>
          <w:lang w:bidi="ps-AF"/>
        </w:rPr>
        <w:t>The Kajaki Power Plant second phase with a capacity of 100 Megawatt solar power production will be constructed in Helmand and government’s direct and likely commitments to that include the following:</w:t>
      </w:r>
    </w:p>
    <w:p w:rsidR="00CD2886" w:rsidRPr="00F23169" w:rsidRDefault="00CD2886" w:rsidP="00873EC3">
      <w:pPr>
        <w:pStyle w:val="ListParagraph"/>
        <w:numPr>
          <w:ilvl w:val="0"/>
          <w:numId w:val="8"/>
        </w:numPr>
        <w:spacing w:after="120" w:line="276" w:lineRule="auto"/>
        <w:contextualSpacing w:val="0"/>
        <w:jc w:val="both"/>
        <w:rPr>
          <w:rFonts w:cstheme="minorHAnsi"/>
          <w:b/>
          <w:bCs/>
          <w:szCs w:val="22"/>
        </w:rPr>
      </w:pPr>
      <w:r w:rsidRPr="00F23169">
        <w:rPr>
          <w:rFonts w:cstheme="minorHAnsi"/>
          <w:b/>
          <w:bCs/>
          <w:szCs w:val="22"/>
        </w:rPr>
        <w:t>Likely commitments:</w:t>
      </w:r>
    </w:p>
    <w:p w:rsidR="00CD2886" w:rsidRPr="00D95123" w:rsidRDefault="00CD2886" w:rsidP="00D95123">
      <w:pPr>
        <w:pStyle w:val="ListParagraph"/>
        <w:numPr>
          <w:ilvl w:val="0"/>
          <w:numId w:val="39"/>
        </w:numPr>
        <w:jc w:val="both"/>
        <w:rPr>
          <w:spacing w:val="-4"/>
          <w:szCs w:val="22"/>
          <w:lang w:bidi="ps-AF"/>
        </w:rPr>
      </w:pPr>
      <w:r w:rsidRPr="00D95123">
        <w:rPr>
          <w:spacing w:val="-4"/>
          <w:szCs w:val="22"/>
          <w:lang w:bidi="ps-AF"/>
        </w:rPr>
        <w:t>State Sovereign Guarantee to secure DABS payments and commitments till the end of contract;</w:t>
      </w:r>
    </w:p>
    <w:p w:rsidR="00CD2886" w:rsidRPr="00D95123" w:rsidRDefault="00CD2886" w:rsidP="00D95123">
      <w:pPr>
        <w:pStyle w:val="ListParagraph"/>
        <w:numPr>
          <w:ilvl w:val="0"/>
          <w:numId w:val="39"/>
        </w:numPr>
        <w:jc w:val="both"/>
        <w:rPr>
          <w:spacing w:val="-4"/>
          <w:szCs w:val="22"/>
          <w:lang w:bidi="ps-AF"/>
        </w:rPr>
      </w:pPr>
      <w:r w:rsidRPr="00D95123">
        <w:rPr>
          <w:spacing w:val="-4"/>
          <w:szCs w:val="22"/>
          <w:lang w:bidi="ps-AF"/>
        </w:rPr>
        <w:t>Compensation when contract is dismissed due to an unexpected political incident;</w:t>
      </w:r>
    </w:p>
    <w:p w:rsidR="00F23169" w:rsidRPr="00D95123" w:rsidRDefault="00CD2886" w:rsidP="00D95123">
      <w:pPr>
        <w:pStyle w:val="ListParagraph"/>
        <w:numPr>
          <w:ilvl w:val="0"/>
          <w:numId w:val="39"/>
        </w:numPr>
        <w:jc w:val="both"/>
        <w:rPr>
          <w:spacing w:val="-4"/>
          <w:szCs w:val="22"/>
          <w:lang w:bidi="ps-AF"/>
        </w:rPr>
      </w:pPr>
      <w:r w:rsidRPr="00D95123">
        <w:rPr>
          <w:spacing w:val="-4"/>
          <w:szCs w:val="22"/>
          <w:lang w:bidi="ps-AF"/>
        </w:rPr>
        <w:t>Compensation when an unexpected incident occurs;</w:t>
      </w:r>
    </w:p>
    <w:p w:rsidR="00F23169" w:rsidRDefault="00F23169" w:rsidP="00F23169">
      <w:pPr>
        <w:rPr>
          <w:lang w:bidi="ps-AF"/>
        </w:rPr>
      </w:pPr>
      <w:r>
        <w:rPr>
          <w:lang w:bidi="ps-AF"/>
        </w:rPr>
        <w:br w:type="page"/>
      </w:r>
    </w:p>
    <w:p w:rsidR="005160AF" w:rsidRPr="00312B80" w:rsidRDefault="005160AF" w:rsidP="00312B80">
      <w:pPr>
        <w:pStyle w:val="Heading1"/>
      </w:pPr>
      <w:bookmarkStart w:id="147" w:name="_Toc535744311"/>
      <w:bookmarkStart w:id="148" w:name="_Toc535750240"/>
      <w:r w:rsidRPr="00312B80">
        <w:lastRenderedPageBreak/>
        <w:t>Budget Execution Rules</w:t>
      </w:r>
      <w:bookmarkEnd w:id="147"/>
      <w:bookmarkEnd w:id="148"/>
    </w:p>
    <w:p w:rsidR="005160AF" w:rsidRPr="00704EBE" w:rsidRDefault="005160AF" w:rsidP="00704EBE">
      <w:pPr>
        <w:jc w:val="both"/>
        <w:rPr>
          <w:szCs w:val="22"/>
          <w:lang w:bidi="ps-AF"/>
        </w:rPr>
      </w:pPr>
      <w:r w:rsidRPr="00704EBE">
        <w:rPr>
          <w:szCs w:val="22"/>
          <w:lang w:bidi="ps-AF"/>
        </w:rPr>
        <w:t>This section sets out guidelines for the implementation of the budget.</w:t>
      </w:r>
    </w:p>
    <w:p w:rsidR="005160AF" w:rsidRPr="00312B80" w:rsidRDefault="005160AF" w:rsidP="00312B80">
      <w:pPr>
        <w:pStyle w:val="Heading2"/>
        <w:rPr>
          <w:rFonts w:eastAsia="Corbel"/>
        </w:rPr>
      </w:pPr>
      <w:bookmarkStart w:id="149" w:name="_Toc535744312"/>
      <w:bookmarkStart w:id="150" w:name="_Toc535750241"/>
      <w:r w:rsidRPr="00312B80">
        <w:rPr>
          <w:rFonts w:eastAsia="Corbel"/>
        </w:rPr>
        <w:t>Legal framework for implementation of the budget</w:t>
      </w:r>
      <w:bookmarkEnd w:id="149"/>
      <w:bookmarkEnd w:id="150"/>
    </w:p>
    <w:p w:rsidR="005160AF" w:rsidRPr="00704EBE" w:rsidRDefault="005160AF" w:rsidP="00873EC3">
      <w:pPr>
        <w:pStyle w:val="ListParagraph"/>
        <w:numPr>
          <w:ilvl w:val="0"/>
          <w:numId w:val="31"/>
        </w:numPr>
        <w:jc w:val="both"/>
        <w:rPr>
          <w:szCs w:val="22"/>
          <w:lang w:bidi="ps-AF"/>
        </w:rPr>
      </w:pPr>
      <w:r w:rsidRPr="00704EBE">
        <w:rPr>
          <w:szCs w:val="22"/>
          <w:lang w:bidi="ps-AF"/>
        </w:rPr>
        <w:t>Under article (37) of the Public Expenditure and Financial Management Law, all budgetary units are required to execute funds in accordance with the budget execution guidelines which is approved by the Parliament. In the case of any conflict with other prevailing laws, except the Constitution, the Budget Execution guidelines will still apply.</w:t>
      </w:r>
    </w:p>
    <w:p w:rsidR="005160AF" w:rsidRPr="00AE2C21" w:rsidRDefault="005160AF" w:rsidP="00AE2C21">
      <w:pPr>
        <w:pStyle w:val="Heading2"/>
        <w:rPr>
          <w:rFonts w:eastAsia="Corbel"/>
        </w:rPr>
      </w:pPr>
      <w:bookmarkStart w:id="151" w:name="_Toc535744313"/>
      <w:bookmarkStart w:id="152" w:name="_Toc535750242"/>
      <w:r w:rsidRPr="00AE2C21">
        <w:rPr>
          <w:rFonts w:eastAsia="Corbel"/>
        </w:rPr>
        <w:t>Administrative requirements for implementation of the national budget</w:t>
      </w:r>
      <w:bookmarkEnd w:id="151"/>
      <w:bookmarkEnd w:id="152"/>
    </w:p>
    <w:p w:rsidR="005160AF" w:rsidRPr="00AE2C21" w:rsidRDefault="005160AF" w:rsidP="00AE2C21">
      <w:pPr>
        <w:pStyle w:val="Heading3"/>
        <w:rPr>
          <w:rFonts w:eastAsia="Corbel"/>
        </w:rPr>
      </w:pPr>
      <w:bookmarkStart w:id="153" w:name="_Toc535744314"/>
      <w:bookmarkStart w:id="154" w:name="_Toc535750243"/>
      <w:r w:rsidRPr="00AE2C21">
        <w:rPr>
          <w:rFonts w:eastAsia="Corbel"/>
        </w:rPr>
        <w:t>General Provisions</w:t>
      </w:r>
      <w:bookmarkEnd w:id="153"/>
      <w:bookmarkEnd w:id="154"/>
    </w:p>
    <w:p w:rsidR="005160AF" w:rsidRPr="00704EBE" w:rsidRDefault="005160AF" w:rsidP="00873EC3">
      <w:pPr>
        <w:pStyle w:val="ListParagraph"/>
        <w:numPr>
          <w:ilvl w:val="0"/>
          <w:numId w:val="31"/>
        </w:numPr>
        <w:jc w:val="both"/>
        <w:rPr>
          <w:szCs w:val="22"/>
          <w:lang w:bidi="ps-AF"/>
        </w:rPr>
      </w:pPr>
      <w:r w:rsidRPr="00704EBE">
        <w:rPr>
          <w:szCs w:val="22"/>
          <w:lang w:bidi="ps-AF"/>
        </w:rPr>
        <w:t>The fiscal year for 1398 starts from first day of JADI 1397 and continues until the last day of QAWS 1398.</w:t>
      </w:r>
    </w:p>
    <w:p w:rsidR="005160AF" w:rsidRPr="00704EBE" w:rsidRDefault="005160AF" w:rsidP="00873EC3">
      <w:pPr>
        <w:pStyle w:val="ListParagraph"/>
        <w:numPr>
          <w:ilvl w:val="0"/>
          <w:numId w:val="31"/>
        </w:numPr>
        <w:jc w:val="both"/>
        <w:rPr>
          <w:szCs w:val="22"/>
          <w:lang w:bidi="ps-AF"/>
        </w:rPr>
      </w:pPr>
      <w:r w:rsidRPr="00704EBE">
        <w:rPr>
          <w:szCs w:val="22"/>
          <w:lang w:bidi="ps-AF"/>
        </w:rPr>
        <w:t>After approval by the Cabinet, Parliament and Presidential decree, the budget is considered final and all budgetary units are required to align their spending plans and execution in accordance with the approved budget. No overspending is allowed from the budget unless prior approval of the MoF.</w:t>
      </w:r>
    </w:p>
    <w:p w:rsidR="005160AF" w:rsidRPr="00704EBE" w:rsidRDefault="005160AF" w:rsidP="00873EC3">
      <w:pPr>
        <w:pStyle w:val="ListParagraph"/>
        <w:numPr>
          <w:ilvl w:val="0"/>
          <w:numId w:val="31"/>
        </w:numPr>
        <w:jc w:val="both"/>
        <w:rPr>
          <w:szCs w:val="22"/>
          <w:lang w:bidi="ps-AF"/>
        </w:rPr>
      </w:pPr>
      <w:r w:rsidRPr="00704EBE">
        <w:rPr>
          <w:szCs w:val="22"/>
          <w:lang w:bidi="ps-AF"/>
        </w:rPr>
        <w:t>Budgetary units should prepare their procurement and financial plans in accordance with directions provided by the MOF in a circular prior to the beginning of the fiscal year in line with the approved budget. Financial plans should be prepared by month, by expenditure code and by province for both operating and development budgets and must be submitted to the Ministry of Finance.</w:t>
      </w:r>
    </w:p>
    <w:p w:rsidR="005160AF" w:rsidRPr="00704EBE" w:rsidRDefault="005160AF" w:rsidP="00873EC3">
      <w:pPr>
        <w:pStyle w:val="ListParagraph"/>
        <w:numPr>
          <w:ilvl w:val="0"/>
          <w:numId w:val="31"/>
        </w:numPr>
        <w:jc w:val="both"/>
        <w:rPr>
          <w:szCs w:val="22"/>
          <w:lang w:bidi="ps-AF"/>
        </w:rPr>
      </w:pPr>
      <w:r w:rsidRPr="00704EBE">
        <w:rPr>
          <w:szCs w:val="22"/>
          <w:lang w:bidi="ps-AF"/>
        </w:rPr>
        <w:t>Under Clause (3) Article (12) of the Procurement Law, no procurement shall be initiated unless public funds (budget) have been allocated in accordance with the Public Financial and Expenditure Management Law. However, after the approval of the 1398 budget by Cabinet, budgetary units can commence their procurement procedures in order to save time. The signing of contracts can be done only after the approval of the budget by Parliament and endorsement by President.</w:t>
      </w:r>
    </w:p>
    <w:p w:rsidR="005160AF" w:rsidRPr="00704EBE" w:rsidRDefault="005160AF" w:rsidP="00873EC3">
      <w:pPr>
        <w:pStyle w:val="ListParagraph"/>
        <w:numPr>
          <w:ilvl w:val="0"/>
          <w:numId w:val="31"/>
        </w:numPr>
        <w:jc w:val="both"/>
        <w:rPr>
          <w:szCs w:val="22"/>
          <w:lang w:bidi="ps-AF"/>
        </w:rPr>
      </w:pPr>
      <w:r w:rsidRPr="00704EBE">
        <w:rPr>
          <w:szCs w:val="22"/>
          <w:lang w:bidi="ps-AF"/>
        </w:rPr>
        <w:t>In order to speed up the process of the implementation of the construction projects, the procurement processing of the contracts up to Afs. 100 million shall take place in accordance with the procurement law by the budgetary units.</w:t>
      </w:r>
    </w:p>
    <w:p w:rsidR="005160AF" w:rsidRPr="00704EBE" w:rsidRDefault="005160AF" w:rsidP="00873EC3">
      <w:pPr>
        <w:pStyle w:val="ListParagraph"/>
        <w:numPr>
          <w:ilvl w:val="0"/>
          <w:numId w:val="31"/>
        </w:numPr>
        <w:jc w:val="both"/>
        <w:rPr>
          <w:szCs w:val="22"/>
          <w:lang w:bidi="ps-AF"/>
        </w:rPr>
      </w:pPr>
      <w:r w:rsidRPr="00704EBE">
        <w:rPr>
          <w:szCs w:val="22"/>
          <w:lang w:bidi="ps-AF"/>
        </w:rPr>
        <w:t xml:space="preserve">Under article (42) of the Constitution and article (2) of the PFML law, no entity, high-ranking officials and/or budgetary unit can possess and/or use domestic revenue, neither can anyone setup public or private bank accounts (provincial or central) for the purpose of collecting domestic revenue without the prior approval of Ministry of Finance. Similarly, the Afghan </w:t>
      </w:r>
      <w:r w:rsidR="002A06A9" w:rsidRPr="00704EBE">
        <w:rPr>
          <w:szCs w:val="22"/>
          <w:lang w:bidi="ps-AF"/>
        </w:rPr>
        <w:t>administrations abroad are</w:t>
      </w:r>
      <w:r w:rsidRPr="00704EBE">
        <w:rPr>
          <w:szCs w:val="22"/>
          <w:lang w:bidi="ps-AF"/>
        </w:rPr>
        <w:t xml:space="preserve"> required to transfer revenues, on quarterly basis, to the special account specified by MoF and the expenditures must be made by issuing allotments.</w:t>
      </w:r>
    </w:p>
    <w:p w:rsidR="00704EBE" w:rsidRPr="00704EBE" w:rsidRDefault="005160AF" w:rsidP="00873EC3">
      <w:pPr>
        <w:pStyle w:val="ListParagraph"/>
        <w:numPr>
          <w:ilvl w:val="0"/>
          <w:numId w:val="31"/>
        </w:numPr>
        <w:jc w:val="both"/>
        <w:rPr>
          <w:szCs w:val="22"/>
          <w:lang w:bidi="ps-AF"/>
        </w:rPr>
      </w:pPr>
      <w:r w:rsidRPr="00704EBE">
        <w:rPr>
          <w:szCs w:val="22"/>
          <w:lang w:bidi="ps-AF"/>
        </w:rPr>
        <w:t xml:space="preserve">Budgetary units which have been established, amended and disqualified in 1398 budget as compared to 1397 budget shall not be deemed as independent budgetary units in accordance with article 90 of the Constitution until legally processed and shall regulate their performances like before. </w:t>
      </w:r>
    </w:p>
    <w:p w:rsidR="005160AF" w:rsidRPr="00704EBE" w:rsidRDefault="005160AF" w:rsidP="00873EC3">
      <w:pPr>
        <w:pStyle w:val="ListParagraph"/>
        <w:numPr>
          <w:ilvl w:val="0"/>
          <w:numId w:val="31"/>
        </w:numPr>
        <w:jc w:val="both"/>
        <w:rPr>
          <w:szCs w:val="22"/>
          <w:lang w:bidi="ps-AF"/>
        </w:rPr>
      </w:pPr>
      <w:r w:rsidRPr="00704EBE">
        <w:rPr>
          <w:szCs w:val="22"/>
          <w:lang w:bidi="ps-AF"/>
        </w:rPr>
        <w:t>Taxes, custom duties, toll fees and other monetary and financial requirements resulting from importing and exporting of oil products and its derivatives such as petrol, diesel, gas, raw oil, etc shall be paid in accordance with the relevant laws except in circumstances when exempted on the basis of agreement and/or law.</w:t>
      </w:r>
    </w:p>
    <w:p w:rsidR="005160AF" w:rsidRPr="00704EBE" w:rsidRDefault="005160AF" w:rsidP="00873EC3">
      <w:pPr>
        <w:pStyle w:val="ListParagraph"/>
        <w:numPr>
          <w:ilvl w:val="0"/>
          <w:numId w:val="31"/>
        </w:numPr>
        <w:jc w:val="both"/>
        <w:rPr>
          <w:szCs w:val="22"/>
          <w:lang w:bidi="ps-AF"/>
        </w:rPr>
      </w:pPr>
      <w:r w:rsidRPr="00704EBE">
        <w:rPr>
          <w:szCs w:val="22"/>
          <w:lang w:bidi="ps-AF"/>
        </w:rPr>
        <w:t>Budget Execution Guidelines approved by parliament as part of the Budget is considered as law and execution against it is considered as violation of law.</w:t>
      </w:r>
    </w:p>
    <w:p w:rsidR="005160AF" w:rsidRPr="00704EBE" w:rsidRDefault="005160AF" w:rsidP="00873EC3">
      <w:pPr>
        <w:pStyle w:val="ListParagraph"/>
        <w:numPr>
          <w:ilvl w:val="0"/>
          <w:numId w:val="31"/>
        </w:numPr>
        <w:jc w:val="both"/>
        <w:rPr>
          <w:szCs w:val="22"/>
          <w:lang w:bidi="ps-AF"/>
        </w:rPr>
      </w:pPr>
      <w:r w:rsidRPr="00704EBE">
        <w:rPr>
          <w:szCs w:val="22"/>
          <w:lang w:bidi="ps-AF"/>
        </w:rPr>
        <w:t xml:space="preserve">For Ministry of Public Works, Ministry of Finance, Ministry of Work and Social Affairs, National Security Council, National Authority on Disabled and Relatives of Martyrs and Office of Administrative Affairs, under the ordinary budget table in addition to their </w:t>
      </w:r>
      <w:r w:rsidRPr="00704EBE">
        <w:rPr>
          <w:szCs w:val="22"/>
          <w:lang w:bidi="ps-AF"/>
        </w:rPr>
        <w:lastRenderedPageBreak/>
        <w:t xml:space="preserve">operational expenditures, other expenditure items are also considered. These funds are expendable only for the purposes specified under the ordinary budget table; these funds shall never be spent for other purposes. </w:t>
      </w:r>
    </w:p>
    <w:p w:rsidR="005160AF" w:rsidRPr="00704EBE" w:rsidRDefault="005160AF" w:rsidP="00873EC3">
      <w:pPr>
        <w:pStyle w:val="ListParagraph"/>
        <w:numPr>
          <w:ilvl w:val="0"/>
          <w:numId w:val="31"/>
        </w:numPr>
        <w:jc w:val="both"/>
        <w:rPr>
          <w:szCs w:val="22"/>
          <w:lang w:bidi="ps-AF"/>
        </w:rPr>
      </w:pPr>
      <w:r w:rsidRPr="00704EBE">
        <w:rPr>
          <w:szCs w:val="22"/>
          <w:lang w:bidi="ps-AF"/>
        </w:rPr>
        <w:t>In order to encourage tax payers to comply with the tax law and facilitate on time collection of tax revenue, tax payers who have not paid penalties from 1381 to 1396 shall:</w:t>
      </w:r>
    </w:p>
    <w:p w:rsidR="005160AF" w:rsidRPr="00704EBE" w:rsidRDefault="005160AF" w:rsidP="00873EC3">
      <w:pPr>
        <w:pStyle w:val="ListParagraph"/>
        <w:numPr>
          <w:ilvl w:val="0"/>
          <w:numId w:val="32"/>
        </w:numPr>
        <w:jc w:val="both"/>
        <w:rPr>
          <w:szCs w:val="22"/>
          <w:lang w:bidi="ps-AF"/>
        </w:rPr>
      </w:pPr>
      <w:r w:rsidRPr="00704EBE">
        <w:rPr>
          <w:szCs w:val="22"/>
          <w:lang w:bidi="ps-AF"/>
        </w:rPr>
        <w:t>In the case of the original tax, pay their obligation including 10% of the additional tax (tax penalty) during the first quarter of FY 1398, and will be exempted from the remaining tax penalties.</w:t>
      </w:r>
    </w:p>
    <w:p w:rsidR="005160AF" w:rsidRPr="00704EBE" w:rsidRDefault="005160AF" w:rsidP="00873EC3">
      <w:pPr>
        <w:pStyle w:val="ListParagraph"/>
        <w:numPr>
          <w:ilvl w:val="0"/>
          <w:numId w:val="32"/>
        </w:numPr>
        <w:jc w:val="both"/>
        <w:rPr>
          <w:szCs w:val="22"/>
          <w:lang w:bidi="ps-AF"/>
        </w:rPr>
      </w:pPr>
      <w:r w:rsidRPr="00704EBE">
        <w:rPr>
          <w:szCs w:val="22"/>
          <w:lang w:bidi="ps-AF"/>
        </w:rPr>
        <w:t>In the case of the original tax, pay their obligation including 20% of the additional tax (tax penalty) during the second quarter of FY 1398, and will be exempted from the remaining tax penalties.</w:t>
      </w:r>
    </w:p>
    <w:p w:rsidR="005160AF" w:rsidRPr="00704EBE" w:rsidRDefault="005160AF" w:rsidP="00873EC3">
      <w:pPr>
        <w:pStyle w:val="ListParagraph"/>
        <w:numPr>
          <w:ilvl w:val="0"/>
          <w:numId w:val="32"/>
        </w:numPr>
        <w:jc w:val="both"/>
        <w:rPr>
          <w:szCs w:val="22"/>
          <w:lang w:bidi="ps-AF"/>
        </w:rPr>
      </w:pPr>
      <w:r w:rsidRPr="00704EBE">
        <w:rPr>
          <w:szCs w:val="22"/>
          <w:lang w:bidi="ps-AF"/>
        </w:rPr>
        <w:t xml:space="preserve">This exemption is valid only for the first 6 months of the FY 1398. </w:t>
      </w:r>
    </w:p>
    <w:p w:rsidR="005160AF" w:rsidRPr="00AE2C21" w:rsidRDefault="005160AF" w:rsidP="00AE2C21">
      <w:pPr>
        <w:pStyle w:val="Heading3"/>
        <w:rPr>
          <w:rFonts w:eastAsia="Corbel"/>
        </w:rPr>
      </w:pPr>
      <w:bookmarkStart w:id="155" w:name="_Toc535744315"/>
      <w:bookmarkStart w:id="156" w:name="_Toc535750244"/>
      <w:r w:rsidRPr="00AE2C21">
        <w:rPr>
          <w:rFonts w:eastAsia="Corbel"/>
        </w:rPr>
        <w:t>Variations and transfers</w:t>
      </w:r>
      <w:bookmarkEnd w:id="155"/>
      <w:bookmarkEnd w:id="156"/>
    </w:p>
    <w:p w:rsidR="005160AF" w:rsidRPr="00704EBE" w:rsidRDefault="005160AF" w:rsidP="00873EC3">
      <w:pPr>
        <w:pStyle w:val="ListParagraph"/>
        <w:numPr>
          <w:ilvl w:val="0"/>
          <w:numId w:val="31"/>
        </w:numPr>
        <w:jc w:val="both"/>
        <w:rPr>
          <w:szCs w:val="22"/>
          <w:lang w:bidi="ps-AF"/>
        </w:rPr>
      </w:pPr>
      <w:r w:rsidRPr="00704EBE">
        <w:rPr>
          <w:szCs w:val="22"/>
          <w:lang w:bidi="ps-AF"/>
        </w:rPr>
        <w:t>Transfers from one code to another can only be approved by the Ministry of Finance. Contracts and all other purchases should be arranged within the limits of the approved budget and the budget codes. No budgetary unit can sign a contract for goods and services that is above the limit of the approved budget in the operating budget. In the multi-year development discretionary projects, if the contract above the approved ceilings, prior written approval of the Ministry of Finance is required.</w:t>
      </w:r>
    </w:p>
    <w:p w:rsidR="005160AF" w:rsidRPr="00704EBE" w:rsidRDefault="005160AF" w:rsidP="00873EC3">
      <w:pPr>
        <w:pStyle w:val="ListParagraph"/>
        <w:numPr>
          <w:ilvl w:val="0"/>
          <w:numId w:val="31"/>
        </w:numPr>
        <w:jc w:val="both"/>
        <w:rPr>
          <w:szCs w:val="22"/>
          <w:lang w:bidi="ps-AF"/>
        </w:rPr>
      </w:pPr>
      <w:r w:rsidRPr="00704EBE">
        <w:rPr>
          <w:szCs w:val="22"/>
          <w:lang w:bidi="ps-AF"/>
        </w:rPr>
        <w:t>1398 Operating budget is calculated on codes-basis. Budgetary units are required to align their expenditures within the codes ceilings.. Arrears from previous years are not payable from 1398 budget, unless prior approval of the Ministry of Finance. All budgetary units are required to execute procurements, provision of goods and services and payments for the year from the budget of the same year.</w:t>
      </w:r>
    </w:p>
    <w:p w:rsidR="005160AF" w:rsidRPr="00704EBE" w:rsidRDefault="005160AF" w:rsidP="00873EC3">
      <w:pPr>
        <w:pStyle w:val="ListParagraph"/>
        <w:numPr>
          <w:ilvl w:val="0"/>
          <w:numId w:val="31"/>
        </w:numPr>
        <w:jc w:val="both"/>
        <w:rPr>
          <w:szCs w:val="22"/>
          <w:lang w:bidi="ps-AF"/>
        </w:rPr>
      </w:pPr>
      <w:r w:rsidRPr="00704EBE">
        <w:rPr>
          <w:szCs w:val="22"/>
          <w:lang w:bidi="ps-AF"/>
        </w:rPr>
        <w:t>In the 1398 Budget the following sub-codes are not transferable to other sub-codes:</w:t>
      </w:r>
    </w:p>
    <w:p w:rsidR="005160AF" w:rsidRPr="00704EBE" w:rsidRDefault="005160AF" w:rsidP="00873EC3">
      <w:pPr>
        <w:pStyle w:val="ListParagraph"/>
        <w:numPr>
          <w:ilvl w:val="0"/>
          <w:numId w:val="33"/>
        </w:numPr>
        <w:jc w:val="both"/>
        <w:rPr>
          <w:szCs w:val="22"/>
          <w:lang w:bidi="ps-AF"/>
        </w:rPr>
      </w:pPr>
      <w:r w:rsidRPr="00704EBE">
        <w:rPr>
          <w:szCs w:val="22"/>
          <w:lang w:bidi="ps-AF"/>
        </w:rPr>
        <w:t>Salaries,</w:t>
      </w:r>
    </w:p>
    <w:p w:rsidR="005160AF" w:rsidRPr="00704EBE" w:rsidRDefault="005160AF" w:rsidP="00873EC3">
      <w:pPr>
        <w:pStyle w:val="ListParagraph"/>
        <w:numPr>
          <w:ilvl w:val="0"/>
          <w:numId w:val="33"/>
        </w:numPr>
        <w:jc w:val="both"/>
        <w:rPr>
          <w:szCs w:val="22"/>
          <w:lang w:bidi="ps-AF"/>
        </w:rPr>
      </w:pPr>
      <w:r w:rsidRPr="00704EBE">
        <w:rPr>
          <w:szCs w:val="22"/>
          <w:lang w:bidi="ps-AF"/>
        </w:rPr>
        <w:t>Food allowance,</w:t>
      </w:r>
    </w:p>
    <w:p w:rsidR="005160AF" w:rsidRPr="00704EBE" w:rsidRDefault="005160AF" w:rsidP="00873EC3">
      <w:pPr>
        <w:pStyle w:val="ListParagraph"/>
        <w:numPr>
          <w:ilvl w:val="0"/>
          <w:numId w:val="33"/>
        </w:numPr>
        <w:jc w:val="both"/>
        <w:rPr>
          <w:szCs w:val="22"/>
          <w:lang w:bidi="ps-AF"/>
        </w:rPr>
      </w:pPr>
      <w:r w:rsidRPr="00704EBE">
        <w:rPr>
          <w:szCs w:val="22"/>
          <w:lang w:bidi="ps-AF"/>
        </w:rPr>
        <w:t>Cost for electricity,</w:t>
      </w:r>
    </w:p>
    <w:p w:rsidR="005160AF" w:rsidRPr="00704EBE" w:rsidRDefault="005160AF" w:rsidP="00873EC3">
      <w:pPr>
        <w:pStyle w:val="ListParagraph"/>
        <w:numPr>
          <w:ilvl w:val="0"/>
          <w:numId w:val="33"/>
        </w:numPr>
        <w:jc w:val="both"/>
        <w:rPr>
          <w:szCs w:val="22"/>
          <w:lang w:bidi="ps-AF"/>
        </w:rPr>
      </w:pPr>
      <w:r w:rsidRPr="00704EBE">
        <w:rPr>
          <w:szCs w:val="22"/>
          <w:lang w:bidi="ps-AF"/>
        </w:rPr>
        <w:t>Water,</w:t>
      </w:r>
    </w:p>
    <w:p w:rsidR="005160AF" w:rsidRPr="00704EBE" w:rsidRDefault="005160AF" w:rsidP="00873EC3">
      <w:pPr>
        <w:pStyle w:val="ListParagraph"/>
        <w:numPr>
          <w:ilvl w:val="0"/>
          <w:numId w:val="33"/>
        </w:numPr>
        <w:jc w:val="both"/>
        <w:rPr>
          <w:szCs w:val="22"/>
          <w:lang w:bidi="ps-AF"/>
        </w:rPr>
      </w:pPr>
      <w:r w:rsidRPr="00704EBE">
        <w:rPr>
          <w:szCs w:val="22"/>
          <w:lang w:bidi="ps-AF"/>
        </w:rPr>
        <w:t>Cleaning,</w:t>
      </w:r>
    </w:p>
    <w:p w:rsidR="005160AF" w:rsidRPr="00704EBE" w:rsidRDefault="005160AF" w:rsidP="00873EC3">
      <w:pPr>
        <w:pStyle w:val="ListParagraph"/>
        <w:numPr>
          <w:ilvl w:val="0"/>
          <w:numId w:val="33"/>
        </w:numPr>
        <w:jc w:val="both"/>
        <w:rPr>
          <w:szCs w:val="22"/>
          <w:lang w:bidi="ps-AF"/>
        </w:rPr>
      </w:pPr>
      <w:r w:rsidRPr="00704EBE">
        <w:rPr>
          <w:szCs w:val="22"/>
          <w:lang w:bidi="ps-AF"/>
        </w:rPr>
        <w:t>Communication fees,</w:t>
      </w:r>
    </w:p>
    <w:p w:rsidR="005160AF" w:rsidRPr="00704EBE" w:rsidRDefault="005160AF" w:rsidP="00873EC3">
      <w:pPr>
        <w:pStyle w:val="ListParagraph"/>
        <w:numPr>
          <w:ilvl w:val="0"/>
          <w:numId w:val="33"/>
        </w:numPr>
        <w:jc w:val="both"/>
        <w:rPr>
          <w:szCs w:val="22"/>
          <w:lang w:bidi="ps-AF"/>
        </w:rPr>
      </w:pPr>
      <w:r w:rsidRPr="00704EBE">
        <w:rPr>
          <w:szCs w:val="22"/>
          <w:lang w:bidi="ps-AF"/>
        </w:rPr>
        <w:t>Vehicle maintenance,</w:t>
      </w:r>
    </w:p>
    <w:p w:rsidR="005160AF" w:rsidRPr="00704EBE" w:rsidRDefault="005160AF" w:rsidP="00873EC3">
      <w:pPr>
        <w:pStyle w:val="ListParagraph"/>
        <w:numPr>
          <w:ilvl w:val="0"/>
          <w:numId w:val="33"/>
        </w:numPr>
        <w:jc w:val="both"/>
        <w:rPr>
          <w:szCs w:val="22"/>
          <w:lang w:bidi="ps-AF"/>
        </w:rPr>
      </w:pPr>
      <w:r w:rsidRPr="00704EBE">
        <w:rPr>
          <w:szCs w:val="22"/>
          <w:lang w:bidi="ps-AF"/>
        </w:rPr>
        <w:t>Ikramia (allowance) for relatives of the security forces martyrs,</w:t>
      </w:r>
    </w:p>
    <w:p w:rsidR="005160AF" w:rsidRPr="00704EBE" w:rsidRDefault="005160AF" w:rsidP="00873EC3">
      <w:pPr>
        <w:pStyle w:val="ListParagraph"/>
        <w:numPr>
          <w:ilvl w:val="0"/>
          <w:numId w:val="33"/>
        </w:numPr>
        <w:jc w:val="both"/>
        <w:rPr>
          <w:szCs w:val="22"/>
          <w:lang w:bidi="ps-AF"/>
        </w:rPr>
      </w:pPr>
      <w:r w:rsidRPr="00704EBE">
        <w:rPr>
          <w:szCs w:val="22"/>
          <w:lang w:bidi="ps-AF"/>
        </w:rPr>
        <w:t>And building maintenance costs.</w:t>
      </w:r>
    </w:p>
    <w:p w:rsidR="005160AF" w:rsidRPr="00704EBE" w:rsidRDefault="005160AF" w:rsidP="00873EC3">
      <w:pPr>
        <w:pStyle w:val="ListParagraph"/>
        <w:numPr>
          <w:ilvl w:val="0"/>
          <w:numId w:val="31"/>
        </w:numPr>
        <w:jc w:val="both"/>
        <w:rPr>
          <w:szCs w:val="22"/>
          <w:lang w:bidi="ps-AF"/>
        </w:rPr>
      </w:pPr>
      <w:r w:rsidRPr="00704EBE">
        <w:rPr>
          <w:szCs w:val="22"/>
          <w:lang w:bidi="ps-AF"/>
        </w:rPr>
        <w:t>Transfers or adjustments within ring-fenced codes must be approved by the Ministry of Finance. Over time compensation is also among the ring-fenced codes and budgetary units are required to process overtimes in accordance with the regulation and within the approved budget. Transfers from any code to overtime compensation is not allowed.</w:t>
      </w:r>
    </w:p>
    <w:p w:rsidR="005160AF" w:rsidRPr="00704EBE" w:rsidRDefault="005160AF" w:rsidP="00873EC3">
      <w:pPr>
        <w:pStyle w:val="ListParagraph"/>
        <w:numPr>
          <w:ilvl w:val="0"/>
          <w:numId w:val="31"/>
        </w:numPr>
        <w:jc w:val="both"/>
        <w:rPr>
          <w:szCs w:val="22"/>
          <w:lang w:bidi="ps-AF"/>
        </w:rPr>
      </w:pPr>
      <w:r w:rsidRPr="00704EBE">
        <w:rPr>
          <w:szCs w:val="22"/>
          <w:lang w:bidi="ps-AF"/>
        </w:rPr>
        <w:t>The donor financed operating budget in the Ministry of Interior and the Ministry of Defense is adjustable or transferrable to other codes only if the donor has agreed to it. Transfers from other codes to ring-fenced codes are allowed under the donor’s funding. Due to the security situation, Ministry of Defense, Ministry of Interior and General Directorate of National Security are treated exceptions to the 5% adjustments between codes which has been stipulated in Article 47 of the PFM law.</w:t>
      </w:r>
    </w:p>
    <w:p w:rsidR="005160AF" w:rsidRPr="00704EBE" w:rsidRDefault="005160AF" w:rsidP="00873EC3">
      <w:pPr>
        <w:pStyle w:val="ListParagraph"/>
        <w:numPr>
          <w:ilvl w:val="0"/>
          <w:numId w:val="31"/>
        </w:numPr>
        <w:jc w:val="both"/>
        <w:rPr>
          <w:szCs w:val="22"/>
          <w:lang w:bidi="ps-AF"/>
        </w:rPr>
      </w:pPr>
      <w:r w:rsidRPr="00704EBE">
        <w:rPr>
          <w:szCs w:val="22"/>
          <w:lang w:bidi="ps-AF"/>
        </w:rPr>
        <w:t>Transfer from other codes to the operative codes are not allowed. The operative expenditures are only executable for following ministries and budgetary units:</w:t>
      </w:r>
    </w:p>
    <w:p w:rsidR="005160AF" w:rsidRPr="00704EBE" w:rsidRDefault="005160AF" w:rsidP="00873EC3">
      <w:pPr>
        <w:pStyle w:val="ListParagraph"/>
        <w:numPr>
          <w:ilvl w:val="0"/>
          <w:numId w:val="34"/>
        </w:numPr>
        <w:jc w:val="both"/>
        <w:rPr>
          <w:szCs w:val="22"/>
          <w:lang w:bidi="ps-AF"/>
        </w:rPr>
      </w:pPr>
      <w:r w:rsidRPr="00704EBE">
        <w:rPr>
          <w:szCs w:val="22"/>
          <w:lang w:bidi="ps-AF"/>
        </w:rPr>
        <w:t>Ministry of Defense</w:t>
      </w:r>
    </w:p>
    <w:p w:rsidR="005160AF" w:rsidRPr="00704EBE" w:rsidRDefault="005160AF" w:rsidP="00873EC3">
      <w:pPr>
        <w:pStyle w:val="ListParagraph"/>
        <w:numPr>
          <w:ilvl w:val="0"/>
          <w:numId w:val="34"/>
        </w:numPr>
        <w:jc w:val="both"/>
        <w:rPr>
          <w:szCs w:val="22"/>
          <w:lang w:bidi="ps-AF"/>
        </w:rPr>
      </w:pPr>
      <w:r w:rsidRPr="00704EBE">
        <w:rPr>
          <w:szCs w:val="22"/>
          <w:lang w:bidi="ps-AF"/>
        </w:rPr>
        <w:t>Ministry of Interior</w:t>
      </w:r>
    </w:p>
    <w:p w:rsidR="005160AF" w:rsidRPr="00704EBE" w:rsidRDefault="005160AF" w:rsidP="00873EC3">
      <w:pPr>
        <w:pStyle w:val="ListParagraph"/>
        <w:numPr>
          <w:ilvl w:val="0"/>
          <w:numId w:val="34"/>
        </w:numPr>
        <w:jc w:val="both"/>
        <w:rPr>
          <w:szCs w:val="22"/>
          <w:lang w:bidi="ps-AF"/>
        </w:rPr>
      </w:pPr>
      <w:r w:rsidRPr="00704EBE">
        <w:rPr>
          <w:szCs w:val="22"/>
          <w:lang w:bidi="ps-AF"/>
        </w:rPr>
        <w:t>General Directorate of National Security</w:t>
      </w:r>
    </w:p>
    <w:p w:rsidR="005160AF" w:rsidRPr="00704EBE" w:rsidRDefault="005160AF" w:rsidP="00873EC3">
      <w:pPr>
        <w:pStyle w:val="ListParagraph"/>
        <w:numPr>
          <w:ilvl w:val="0"/>
          <w:numId w:val="34"/>
        </w:numPr>
        <w:jc w:val="both"/>
        <w:rPr>
          <w:szCs w:val="22"/>
          <w:lang w:bidi="ps-AF"/>
        </w:rPr>
      </w:pPr>
      <w:r w:rsidRPr="00704EBE">
        <w:rPr>
          <w:szCs w:val="22"/>
          <w:lang w:bidi="ps-AF"/>
        </w:rPr>
        <w:t>National Security Council</w:t>
      </w:r>
    </w:p>
    <w:p w:rsidR="005160AF" w:rsidRPr="00704EBE" w:rsidRDefault="005160AF" w:rsidP="00873EC3">
      <w:pPr>
        <w:pStyle w:val="ListParagraph"/>
        <w:numPr>
          <w:ilvl w:val="0"/>
          <w:numId w:val="31"/>
        </w:numPr>
        <w:jc w:val="both"/>
        <w:rPr>
          <w:szCs w:val="22"/>
          <w:lang w:bidi="ps-AF"/>
        </w:rPr>
      </w:pPr>
      <w:r w:rsidRPr="00704EBE">
        <w:rPr>
          <w:szCs w:val="22"/>
          <w:lang w:bidi="ps-AF"/>
        </w:rPr>
        <w:t xml:space="preserve">In order to ensure the timely implementation of the Budget, the Ministry of Finance is authorized to allow transfers between economic codes in the operating budget, without </w:t>
      </w:r>
      <w:r w:rsidRPr="00704EBE">
        <w:rPr>
          <w:szCs w:val="22"/>
          <w:lang w:bidi="ps-AF"/>
        </w:rPr>
        <w:lastRenderedPageBreak/>
        <w:t>Budget Committee’s approval. However, code 21 expenditures (Wages and Salaries) cannot be transferred to any other codes.</w:t>
      </w:r>
    </w:p>
    <w:p w:rsidR="005160AF" w:rsidRPr="00704EBE" w:rsidRDefault="005160AF" w:rsidP="00873EC3">
      <w:pPr>
        <w:pStyle w:val="ListParagraph"/>
        <w:numPr>
          <w:ilvl w:val="0"/>
          <w:numId w:val="31"/>
        </w:numPr>
        <w:jc w:val="both"/>
        <w:rPr>
          <w:szCs w:val="22"/>
          <w:lang w:bidi="ps-AF"/>
        </w:rPr>
      </w:pPr>
      <w:r w:rsidRPr="00704EBE">
        <w:rPr>
          <w:szCs w:val="22"/>
          <w:lang w:bidi="ps-AF"/>
        </w:rPr>
        <w:t>In case of any increase in revenue collection during the fiscal year above the budget projections, the Ministry of Finance has the authority to use the additional revenue to finance any deficit in the development budget.</w:t>
      </w:r>
    </w:p>
    <w:p w:rsidR="005160AF" w:rsidRPr="00704EBE" w:rsidRDefault="005160AF" w:rsidP="00873EC3">
      <w:pPr>
        <w:pStyle w:val="ListParagraph"/>
        <w:numPr>
          <w:ilvl w:val="0"/>
          <w:numId w:val="31"/>
        </w:numPr>
        <w:jc w:val="both"/>
        <w:rPr>
          <w:szCs w:val="22"/>
          <w:lang w:bidi="ps-AF"/>
        </w:rPr>
      </w:pPr>
      <w:r w:rsidRPr="00704EBE">
        <w:rPr>
          <w:szCs w:val="22"/>
          <w:lang w:bidi="ps-AF"/>
        </w:rPr>
        <w:t>Ministries/agencies that have Operations and Maintenance (O&amp;M) expenditures should communicate the approved provincial allocation funds to the related provincial departments at the beginning of the fiscal year and transfer it to the provincial departments in accordance with the financial plan so that work may be done at the provincial level. These funds are not transferable from one province to the other during the fiscal year, unless approved by the Ministry of Finance.</w:t>
      </w:r>
    </w:p>
    <w:p w:rsidR="005160AF" w:rsidRPr="00AE2C21" w:rsidRDefault="005160AF" w:rsidP="00AE2C21">
      <w:pPr>
        <w:pStyle w:val="Heading3"/>
        <w:rPr>
          <w:rFonts w:eastAsia="Corbel"/>
        </w:rPr>
      </w:pPr>
      <w:bookmarkStart w:id="157" w:name="_Toc535744316"/>
      <w:bookmarkStart w:id="158" w:name="_Toc535750245"/>
      <w:r w:rsidRPr="00AE2C21">
        <w:rPr>
          <w:rFonts w:eastAsia="Corbel"/>
        </w:rPr>
        <w:t>Project Management and Contracting</w:t>
      </w:r>
      <w:bookmarkEnd w:id="157"/>
      <w:bookmarkEnd w:id="158"/>
    </w:p>
    <w:p w:rsidR="005160AF" w:rsidRPr="00704EBE" w:rsidRDefault="005160AF" w:rsidP="00873EC3">
      <w:pPr>
        <w:pStyle w:val="ListParagraph"/>
        <w:numPr>
          <w:ilvl w:val="0"/>
          <w:numId w:val="31"/>
        </w:numPr>
        <w:jc w:val="both"/>
        <w:rPr>
          <w:szCs w:val="22"/>
          <w:lang w:bidi="ps-AF"/>
        </w:rPr>
      </w:pPr>
      <w:r w:rsidRPr="00704EBE">
        <w:rPr>
          <w:szCs w:val="22"/>
          <w:lang w:bidi="ps-AF"/>
        </w:rPr>
        <w:t>For any type of overtime in contracts prior to commencement, written agreements from the relevant donors and in the case of work under the discretionary budget, a written agreement of the Ministry of Finance are required. Overtime exceeding 15% in projects under the discretionary budget shall not be approved.</w:t>
      </w:r>
    </w:p>
    <w:p w:rsidR="005160AF" w:rsidRPr="00704EBE" w:rsidRDefault="005160AF" w:rsidP="00873EC3">
      <w:pPr>
        <w:pStyle w:val="ListParagraph"/>
        <w:numPr>
          <w:ilvl w:val="0"/>
          <w:numId w:val="31"/>
        </w:numPr>
        <w:jc w:val="both"/>
        <w:rPr>
          <w:szCs w:val="22"/>
          <w:lang w:bidi="ps-AF"/>
        </w:rPr>
      </w:pPr>
      <w:r w:rsidRPr="00704EBE">
        <w:rPr>
          <w:szCs w:val="22"/>
          <w:lang w:bidi="ps-AF"/>
        </w:rPr>
        <w:t xml:space="preserve">Projects with no progress for two years will be reviewed by the Budget Committee and will be taken out unless the relevant budgetary </w:t>
      </w:r>
      <w:r w:rsidR="00704EBE" w:rsidRPr="00704EBE">
        <w:rPr>
          <w:szCs w:val="22"/>
          <w:lang w:bidi="ps-AF"/>
        </w:rPr>
        <w:t>unit provides</w:t>
      </w:r>
      <w:r w:rsidRPr="00704EBE">
        <w:rPr>
          <w:szCs w:val="22"/>
          <w:lang w:bidi="ps-AF"/>
        </w:rPr>
        <w:t xml:space="preserve"> proper justifications on why the progress has not been made.</w:t>
      </w:r>
    </w:p>
    <w:p w:rsidR="005160AF" w:rsidRPr="00704EBE" w:rsidRDefault="005160AF" w:rsidP="00873EC3">
      <w:pPr>
        <w:pStyle w:val="ListParagraph"/>
        <w:numPr>
          <w:ilvl w:val="0"/>
          <w:numId w:val="31"/>
        </w:numPr>
        <w:jc w:val="both"/>
        <w:rPr>
          <w:szCs w:val="22"/>
          <w:lang w:bidi="ps-AF"/>
        </w:rPr>
      </w:pPr>
      <w:r w:rsidRPr="00704EBE">
        <w:rPr>
          <w:szCs w:val="22"/>
          <w:lang w:bidi="ps-AF"/>
        </w:rPr>
        <w:t>Under the non-discretionary budget, Ministries and budgetary units need to have the written agreement of the relevant donors before extending a contract to a third party. Verbal commitments are not sufficient. During the course of the year, if a donor withdraws from its commitment, the executing Ministry or budgetary unit must inform the Ministry of Finance within 10 working days.</w:t>
      </w:r>
    </w:p>
    <w:p w:rsidR="005160AF" w:rsidRPr="00704EBE" w:rsidRDefault="005160AF" w:rsidP="00873EC3">
      <w:pPr>
        <w:pStyle w:val="ListParagraph"/>
        <w:numPr>
          <w:ilvl w:val="0"/>
          <w:numId w:val="31"/>
        </w:numPr>
        <w:jc w:val="both"/>
        <w:rPr>
          <w:szCs w:val="22"/>
          <w:lang w:bidi="ps-AF"/>
        </w:rPr>
      </w:pPr>
      <w:r w:rsidRPr="00704EBE">
        <w:rPr>
          <w:szCs w:val="22"/>
          <w:lang w:bidi="ps-AF"/>
        </w:rPr>
        <w:t>All contracts and payments within Afghanistan must be made in Afghanis. However, payments made outside the country are exempted. No contracts must be paid in both currencies at the same time.</w:t>
      </w:r>
    </w:p>
    <w:p w:rsidR="005160AF" w:rsidRPr="00704EBE" w:rsidRDefault="005160AF" w:rsidP="00873EC3">
      <w:pPr>
        <w:pStyle w:val="ListParagraph"/>
        <w:numPr>
          <w:ilvl w:val="0"/>
          <w:numId w:val="31"/>
        </w:numPr>
        <w:jc w:val="both"/>
        <w:rPr>
          <w:szCs w:val="22"/>
          <w:lang w:bidi="ps-AF"/>
        </w:rPr>
      </w:pPr>
      <w:r w:rsidRPr="00704EBE">
        <w:rPr>
          <w:szCs w:val="22"/>
          <w:lang w:bidi="ps-AF"/>
        </w:rPr>
        <w:t>All Ministries and budgetary units are required to submit their quarterly budget performance reports to the Ministry of Finance and the Ministry of economy no later than two weeks after the end of each quarter. The Ministry of Finance will prepare and send a consolidated performance report to the Finance Commission of the Parliament (Wolesi Jirga) within one month of the end of each quarter.</w:t>
      </w:r>
    </w:p>
    <w:p w:rsidR="005160AF" w:rsidRPr="00704EBE" w:rsidRDefault="005160AF" w:rsidP="00873EC3">
      <w:pPr>
        <w:pStyle w:val="ListParagraph"/>
        <w:numPr>
          <w:ilvl w:val="0"/>
          <w:numId w:val="31"/>
        </w:numPr>
        <w:jc w:val="both"/>
        <w:rPr>
          <w:szCs w:val="22"/>
          <w:lang w:bidi="ps-AF"/>
        </w:rPr>
      </w:pPr>
      <w:r w:rsidRPr="00704EBE">
        <w:rPr>
          <w:szCs w:val="22"/>
          <w:lang w:bidi="ps-AF"/>
        </w:rPr>
        <w:t>All Budget allotments, (with exception to the contingency codes) will be addressed through a separate Ministry of Finance Circular.</w:t>
      </w:r>
    </w:p>
    <w:p w:rsidR="005160AF" w:rsidRPr="00704EBE" w:rsidRDefault="005160AF" w:rsidP="00873EC3">
      <w:pPr>
        <w:pStyle w:val="ListParagraph"/>
        <w:numPr>
          <w:ilvl w:val="0"/>
          <w:numId w:val="31"/>
        </w:numPr>
        <w:jc w:val="both"/>
        <w:rPr>
          <w:szCs w:val="22"/>
          <w:lang w:bidi="ps-AF"/>
        </w:rPr>
      </w:pPr>
      <w:r w:rsidRPr="00704EBE">
        <w:rPr>
          <w:szCs w:val="22"/>
          <w:lang w:bidi="ps-AF"/>
        </w:rPr>
        <w:t>All budgetary units are required to clear their advance balances before the end of fiscal year. Advances will be audited by the Supreme Audit Office (SAO) and any budgetary unit which has failed to clear its advances before the end of the year will not be eligible for advances next year. Advance payment in contracts and Letter of Credit (LC) are exempted.</w:t>
      </w:r>
    </w:p>
    <w:p w:rsidR="005160AF" w:rsidRPr="00704EBE" w:rsidRDefault="005160AF" w:rsidP="00873EC3">
      <w:pPr>
        <w:pStyle w:val="ListParagraph"/>
        <w:numPr>
          <w:ilvl w:val="0"/>
          <w:numId w:val="31"/>
        </w:numPr>
        <w:jc w:val="both"/>
        <w:rPr>
          <w:szCs w:val="22"/>
          <w:lang w:bidi="ps-AF"/>
        </w:rPr>
      </w:pPr>
      <w:r w:rsidRPr="00704EBE">
        <w:rPr>
          <w:szCs w:val="22"/>
          <w:lang w:bidi="ps-AF"/>
        </w:rPr>
        <w:t>According to article 96 of the constitution, if a law or regulation includes the imposition of new taxes or a reduction of state incomes, any source of compensation must be in the text of the proposal. Any law or regulation that includes a salary increment / or increase in any other allowances of civil servants and military staff which is not already included in the budget (including the forward estimates) unless stated in the law the allowances or new spending are applicable from the beginning of the next fiscal year.</w:t>
      </w:r>
    </w:p>
    <w:p w:rsidR="005160AF" w:rsidRPr="00704EBE" w:rsidRDefault="005160AF" w:rsidP="00873EC3">
      <w:pPr>
        <w:pStyle w:val="ListParagraph"/>
        <w:numPr>
          <w:ilvl w:val="0"/>
          <w:numId w:val="31"/>
        </w:numPr>
        <w:jc w:val="both"/>
        <w:rPr>
          <w:szCs w:val="22"/>
          <w:lang w:bidi="ps-AF"/>
        </w:rPr>
      </w:pPr>
      <w:r w:rsidRPr="00704EBE">
        <w:rPr>
          <w:szCs w:val="22"/>
          <w:lang w:bidi="ps-AF"/>
        </w:rPr>
        <w:t>For better utilization of the Operation and Maintenance funds (O&amp;M), Ministry of Public Works (MoPW) must sign all contracts and execute funds annually. 65% of the total O&amp;M related to the ministry is allocated to basic operation and maintenance, 20% to on-going operation and maintenance and 15% to rehabilitation of roads in emergency situations.</w:t>
      </w:r>
    </w:p>
    <w:p w:rsidR="005160AF" w:rsidRPr="00704EBE" w:rsidRDefault="005160AF" w:rsidP="00873EC3">
      <w:pPr>
        <w:pStyle w:val="ListParagraph"/>
        <w:numPr>
          <w:ilvl w:val="0"/>
          <w:numId w:val="31"/>
        </w:numPr>
        <w:jc w:val="both"/>
        <w:rPr>
          <w:szCs w:val="22"/>
          <w:lang w:bidi="ps-AF"/>
        </w:rPr>
      </w:pPr>
      <w:r w:rsidRPr="00704EBE">
        <w:rPr>
          <w:szCs w:val="22"/>
          <w:lang w:bidi="ps-AF"/>
        </w:rPr>
        <w:t>All contracts (Construction and non-construction) should be based on fixed price and not on estimated work progress. Starting and ending dates of contracts shall also be clearly stated.</w:t>
      </w:r>
    </w:p>
    <w:p w:rsidR="005160AF" w:rsidRPr="00704EBE" w:rsidRDefault="005160AF" w:rsidP="00873EC3">
      <w:pPr>
        <w:pStyle w:val="ListParagraph"/>
        <w:numPr>
          <w:ilvl w:val="0"/>
          <w:numId w:val="31"/>
        </w:numPr>
        <w:jc w:val="both"/>
        <w:rPr>
          <w:szCs w:val="22"/>
          <w:lang w:bidi="ps-AF"/>
        </w:rPr>
      </w:pPr>
      <w:r w:rsidRPr="00704EBE">
        <w:rPr>
          <w:szCs w:val="22"/>
          <w:lang w:bidi="ps-AF"/>
        </w:rPr>
        <w:t>All contracts including construction, water supply, etc which have possibility of an open tendor, must not be contracted through single source.</w:t>
      </w:r>
    </w:p>
    <w:p w:rsidR="005160AF" w:rsidRPr="00704EBE" w:rsidRDefault="005160AF" w:rsidP="00873EC3">
      <w:pPr>
        <w:pStyle w:val="ListParagraph"/>
        <w:numPr>
          <w:ilvl w:val="0"/>
          <w:numId w:val="31"/>
        </w:numPr>
        <w:jc w:val="both"/>
        <w:rPr>
          <w:szCs w:val="22"/>
          <w:lang w:bidi="ps-AF"/>
        </w:rPr>
      </w:pPr>
      <w:r w:rsidRPr="00704EBE">
        <w:rPr>
          <w:szCs w:val="22"/>
          <w:lang w:bidi="ps-AF"/>
        </w:rPr>
        <w:lastRenderedPageBreak/>
        <w:t>National Procurement Authority (NPA) cannot keep contracts with them for more than 21 days (based on procurement law).</w:t>
      </w:r>
    </w:p>
    <w:p w:rsidR="005160AF" w:rsidRPr="00704EBE" w:rsidRDefault="005160AF" w:rsidP="00873EC3">
      <w:pPr>
        <w:pStyle w:val="ListParagraph"/>
        <w:numPr>
          <w:ilvl w:val="0"/>
          <w:numId w:val="31"/>
        </w:numPr>
        <w:jc w:val="both"/>
        <w:rPr>
          <w:szCs w:val="22"/>
          <w:lang w:bidi="ps-AF"/>
        </w:rPr>
      </w:pPr>
      <w:r w:rsidRPr="00704EBE">
        <w:rPr>
          <w:szCs w:val="22"/>
          <w:lang w:bidi="ps-AF"/>
        </w:rPr>
        <w:t>Financing decision of the discretionary projects is the authority of the Afghan government, and donors have the authority to make decisions in respect to financing the non-discretionary. In case any non-discretionary project is secured or discarded or in case of increase/decrease of its fund during the fiscal year, Ministry of Finance is authorized to execute budget annex after approval of office of the president and send it to the National Assembly within 7 working days for their information.</w:t>
      </w:r>
    </w:p>
    <w:p w:rsidR="005160AF" w:rsidRPr="00704EBE" w:rsidRDefault="005160AF" w:rsidP="00873EC3">
      <w:pPr>
        <w:pStyle w:val="ListParagraph"/>
        <w:numPr>
          <w:ilvl w:val="0"/>
          <w:numId w:val="31"/>
        </w:numPr>
        <w:jc w:val="both"/>
        <w:rPr>
          <w:szCs w:val="22"/>
          <w:lang w:bidi="ps-AF"/>
        </w:rPr>
      </w:pPr>
      <w:r w:rsidRPr="00704EBE">
        <w:rPr>
          <w:szCs w:val="22"/>
          <w:lang w:bidi="ps-AF"/>
        </w:rPr>
        <w:t>Supplementary additions and operating budget deductions in the non-discretionary budget is executable provided it has proper justification, approval of the Ministry of Finance based on the written agreement of the donor shall be executed during the fiscal years and this information must be shared within 7 working days with the Parliament.</w:t>
      </w:r>
    </w:p>
    <w:p w:rsidR="005160AF" w:rsidRPr="00704EBE" w:rsidRDefault="005160AF" w:rsidP="00873EC3">
      <w:pPr>
        <w:pStyle w:val="ListParagraph"/>
        <w:numPr>
          <w:ilvl w:val="0"/>
          <w:numId w:val="31"/>
        </w:numPr>
        <w:jc w:val="both"/>
        <w:rPr>
          <w:szCs w:val="22"/>
          <w:lang w:bidi="ps-AF"/>
        </w:rPr>
      </w:pPr>
      <w:r w:rsidRPr="00704EBE">
        <w:rPr>
          <w:szCs w:val="22"/>
          <w:lang w:bidi="ps-AF"/>
        </w:rPr>
        <w:t>Subprojects in the National Rural Access Program (NRAP) and other projects in the Ministry of Public Works (MoPW) and Ministry of Rural Rehabilitation and Development (MoRRD) is not amendable after approval of the Parliament.</w:t>
      </w:r>
    </w:p>
    <w:p w:rsidR="005160AF" w:rsidRPr="00704EBE" w:rsidRDefault="005160AF" w:rsidP="00873EC3">
      <w:pPr>
        <w:pStyle w:val="ListParagraph"/>
        <w:numPr>
          <w:ilvl w:val="0"/>
          <w:numId w:val="31"/>
        </w:numPr>
        <w:jc w:val="both"/>
        <w:rPr>
          <w:szCs w:val="22"/>
          <w:lang w:bidi="ps-AF"/>
        </w:rPr>
      </w:pPr>
      <w:r w:rsidRPr="00704EBE">
        <w:rPr>
          <w:szCs w:val="22"/>
          <w:lang w:bidi="ps-AF"/>
        </w:rPr>
        <w:t>All professors in Ministry of Higher Education, Science Academy or any other educational institutes serving in other budgetary units, State-owned enterprises and etc, are not illegible to acquire Cadre-allowances.</w:t>
      </w:r>
    </w:p>
    <w:p w:rsidR="005160AF" w:rsidRPr="00704EBE" w:rsidRDefault="005160AF" w:rsidP="00873EC3">
      <w:pPr>
        <w:pStyle w:val="ListParagraph"/>
        <w:numPr>
          <w:ilvl w:val="0"/>
          <w:numId w:val="31"/>
        </w:numPr>
        <w:jc w:val="both"/>
        <w:rPr>
          <w:szCs w:val="22"/>
          <w:lang w:bidi="ps-AF"/>
        </w:rPr>
      </w:pPr>
      <w:r w:rsidRPr="00704EBE">
        <w:rPr>
          <w:szCs w:val="22"/>
          <w:lang w:bidi="ps-AF"/>
        </w:rPr>
        <w:t>All ministries and budgetary units receive funds from National budget and are therefore accountable for their execution to the Wolosi Jirga. In case of any issues, ministries/budgetary units must write to the Ministry of Finance for rectification.</w:t>
      </w:r>
    </w:p>
    <w:p w:rsidR="005160AF" w:rsidRPr="00704EBE" w:rsidRDefault="005160AF" w:rsidP="00873EC3">
      <w:pPr>
        <w:pStyle w:val="ListParagraph"/>
        <w:numPr>
          <w:ilvl w:val="0"/>
          <w:numId w:val="31"/>
        </w:numPr>
        <w:jc w:val="both"/>
        <w:rPr>
          <w:szCs w:val="22"/>
          <w:lang w:bidi="ps-AF"/>
        </w:rPr>
      </w:pPr>
      <w:r w:rsidRPr="00704EBE">
        <w:rPr>
          <w:szCs w:val="22"/>
          <w:lang w:bidi="ps-AF"/>
        </w:rPr>
        <w:t>Taxes on salaries and contracts will be levied based on Income Tax Law. International Agreements are exceptions.</w:t>
      </w:r>
    </w:p>
    <w:p w:rsidR="005160AF" w:rsidRPr="00704EBE" w:rsidRDefault="005160AF" w:rsidP="00873EC3">
      <w:pPr>
        <w:pStyle w:val="ListParagraph"/>
        <w:numPr>
          <w:ilvl w:val="0"/>
          <w:numId w:val="31"/>
        </w:numPr>
        <w:jc w:val="both"/>
        <w:rPr>
          <w:szCs w:val="22"/>
          <w:lang w:bidi="ps-AF"/>
        </w:rPr>
      </w:pPr>
      <w:r w:rsidRPr="00704EBE">
        <w:rPr>
          <w:szCs w:val="22"/>
          <w:lang w:bidi="ps-AF"/>
        </w:rPr>
        <w:t>All ministries including Ministry of Foreign Affairs must avoid hiring contracted staff. No contracted staff is allowed to be employed outside the country. Appointing employees in embassies and diplomatic offices within the approved tashkeel is under foreign minister’s authority, provided non increments are given in the salaries and/or other incentives. Ministry of Foreign Affairs is responsible to set norms and standards for salary scales of locally hired workers outside country, in collaboration with Ministry of Finance.</w:t>
      </w:r>
    </w:p>
    <w:p w:rsidR="005160AF" w:rsidRPr="00704EBE" w:rsidRDefault="005160AF" w:rsidP="00873EC3">
      <w:pPr>
        <w:pStyle w:val="ListParagraph"/>
        <w:numPr>
          <w:ilvl w:val="0"/>
          <w:numId w:val="31"/>
        </w:numPr>
        <w:jc w:val="both"/>
        <w:rPr>
          <w:szCs w:val="22"/>
          <w:lang w:bidi="ps-AF"/>
        </w:rPr>
      </w:pPr>
      <w:r w:rsidRPr="00704EBE">
        <w:rPr>
          <w:szCs w:val="22"/>
          <w:lang w:bidi="ps-AF"/>
        </w:rPr>
        <w:t>Infrastructure sector’s line ministries should consider infrastructure sharing issue in all construction contracts during the project design phase. In particular the issues of Fiber optic, electricity transmission cables, canalization and water supply system need to be shared and coordinated among Ministry of Public Work, Municipalities, Ministry of Communication and Information Technology, Water Supply and Canalization Company and Brishna Company during the design and construction phase of roads and streets and make a joint effort for its implementation. Also National Procurement Authority is required to consider this issue during approval of new contracts.</w:t>
      </w:r>
    </w:p>
    <w:p w:rsidR="005160AF" w:rsidRPr="00704EBE" w:rsidRDefault="005160AF" w:rsidP="00873EC3">
      <w:pPr>
        <w:pStyle w:val="ListParagraph"/>
        <w:numPr>
          <w:ilvl w:val="0"/>
          <w:numId w:val="31"/>
        </w:numPr>
        <w:jc w:val="both"/>
        <w:rPr>
          <w:szCs w:val="22"/>
          <w:lang w:bidi="ps-AF"/>
        </w:rPr>
      </w:pPr>
      <w:r w:rsidRPr="00704EBE">
        <w:rPr>
          <w:szCs w:val="22"/>
          <w:lang w:bidi="ps-AF"/>
        </w:rPr>
        <w:t>Only ministers and executives of the budgetary units are not responsible for budget execution. Deputies, project managers, and relevant directors are also held responsible.</w:t>
      </w:r>
    </w:p>
    <w:p w:rsidR="005160AF" w:rsidRPr="00704EBE" w:rsidRDefault="005160AF" w:rsidP="00873EC3">
      <w:pPr>
        <w:pStyle w:val="ListParagraph"/>
        <w:numPr>
          <w:ilvl w:val="0"/>
          <w:numId w:val="31"/>
        </w:numPr>
        <w:jc w:val="both"/>
        <w:rPr>
          <w:szCs w:val="22"/>
          <w:lang w:bidi="ps-AF"/>
        </w:rPr>
      </w:pPr>
      <w:r w:rsidRPr="00704EBE">
        <w:rPr>
          <w:szCs w:val="22"/>
          <w:lang w:bidi="ps-AF"/>
        </w:rPr>
        <w:t>Drafting of laws, regulations and policies that have a direct fiscal/financial implication on the national budget must be approved by the Cabinet; prior to cabinet, approval of the Ministry of Finance is must. Unless otherwise, the Ministry of Finance will not be responsible to its implementation.</w:t>
      </w:r>
    </w:p>
    <w:p w:rsidR="005160AF" w:rsidRPr="00704EBE" w:rsidRDefault="005160AF" w:rsidP="00873EC3">
      <w:pPr>
        <w:pStyle w:val="ListParagraph"/>
        <w:numPr>
          <w:ilvl w:val="0"/>
          <w:numId w:val="31"/>
        </w:numPr>
        <w:jc w:val="both"/>
        <w:rPr>
          <w:szCs w:val="22"/>
          <w:lang w:bidi="ps-AF"/>
        </w:rPr>
      </w:pPr>
      <w:r w:rsidRPr="00704EBE">
        <w:rPr>
          <w:szCs w:val="22"/>
          <w:lang w:bidi="ps-AF"/>
        </w:rPr>
        <w:t>In non-discretionary projects, Ministry of Finance, can opt for Letter of Credits (LC), based on GoA agreement with Donors. Only the planned executable amount for the year must be included as the budget.</w:t>
      </w:r>
    </w:p>
    <w:p w:rsidR="005160AF" w:rsidRPr="00704EBE" w:rsidRDefault="005160AF" w:rsidP="00873EC3">
      <w:pPr>
        <w:pStyle w:val="ListParagraph"/>
        <w:numPr>
          <w:ilvl w:val="0"/>
          <w:numId w:val="31"/>
        </w:numPr>
        <w:jc w:val="both"/>
        <w:rPr>
          <w:szCs w:val="22"/>
          <w:lang w:bidi="ps-AF"/>
        </w:rPr>
      </w:pPr>
      <w:r w:rsidRPr="00704EBE">
        <w:rPr>
          <w:szCs w:val="22"/>
          <w:lang w:bidi="ps-AF"/>
        </w:rPr>
        <w:t>Final deadline to submit FY 1398’s M16s in the center and Mustufiats for the ordinary budget is 20th of QAWS and for development budget 28th of QAWS. The budgetary units are assigned to communicate the issue with their secondary departments.</w:t>
      </w:r>
    </w:p>
    <w:p w:rsidR="005160AF" w:rsidRPr="00AE2C21" w:rsidRDefault="005160AF" w:rsidP="00AE2C21">
      <w:pPr>
        <w:pStyle w:val="Heading3"/>
        <w:rPr>
          <w:rFonts w:eastAsia="Corbel"/>
        </w:rPr>
      </w:pPr>
      <w:bookmarkStart w:id="159" w:name="_Toc535744317"/>
      <w:bookmarkStart w:id="160" w:name="_Toc535750246"/>
      <w:r w:rsidRPr="00AE2C21">
        <w:rPr>
          <w:rFonts w:eastAsia="Corbel"/>
        </w:rPr>
        <w:t>Staffing</w:t>
      </w:r>
      <w:bookmarkEnd w:id="159"/>
      <w:bookmarkEnd w:id="160"/>
    </w:p>
    <w:p w:rsidR="005160AF" w:rsidRPr="00704EBE" w:rsidRDefault="005160AF" w:rsidP="00873EC3">
      <w:pPr>
        <w:pStyle w:val="ListParagraph"/>
        <w:numPr>
          <w:ilvl w:val="0"/>
          <w:numId w:val="31"/>
        </w:numPr>
        <w:jc w:val="both"/>
        <w:rPr>
          <w:szCs w:val="22"/>
          <w:lang w:bidi="ps-AF"/>
        </w:rPr>
      </w:pPr>
      <w:r w:rsidRPr="00704EBE">
        <w:rPr>
          <w:szCs w:val="22"/>
          <w:lang w:bidi="ps-AF"/>
        </w:rPr>
        <w:t xml:space="preserve">Ministries and agencies are required to align their Tashkeel (organizational structure) differentiated by national and sub national levels based on the budget ceiling assigned by the Parliament to each ministry and strictly avoid any increase in Tashkeel in the course </w:t>
      </w:r>
      <w:r w:rsidRPr="00704EBE">
        <w:rPr>
          <w:szCs w:val="22"/>
          <w:lang w:bidi="ps-AF"/>
        </w:rPr>
        <w:lastRenderedPageBreak/>
        <w:t>of the fiscal year. Approved Tashkeel levels which appear in the budget document are final.</w:t>
      </w:r>
    </w:p>
    <w:p w:rsidR="005160AF" w:rsidRPr="00704EBE" w:rsidRDefault="005160AF" w:rsidP="00873EC3">
      <w:pPr>
        <w:pStyle w:val="ListParagraph"/>
        <w:numPr>
          <w:ilvl w:val="0"/>
          <w:numId w:val="31"/>
        </w:numPr>
        <w:jc w:val="both"/>
        <w:rPr>
          <w:szCs w:val="22"/>
          <w:lang w:bidi="ps-AF"/>
        </w:rPr>
      </w:pPr>
      <w:r w:rsidRPr="00704EBE">
        <w:rPr>
          <w:szCs w:val="22"/>
          <w:lang w:bidi="ps-AF"/>
        </w:rPr>
        <w:t>No governmental staff (lower or higher ranking) can simultaneously receive salaries from two organizations during official working hours.</w:t>
      </w:r>
    </w:p>
    <w:p w:rsidR="005160AF" w:rsidRPr="00704EBE" w:rsidRDefault="005160AF" w:rsidP="00873EC3">
      <w:pPr>
        <w:pStyle w:val="ListParagraph"/>
        <w:numPr>
          <w:ilvl w:val="0"/>
          <w:numId w:val="31"/>
        </w:numPr>
        <w:jc w:val="both"/>
        <w:rPr>
          <w:szCs w:val="22"/>
          <w:lang w:bidi="ps-AF"/>
        </w:rPr>
      </w:pPr>
      <w:r w:rsidRPr="00704EBE">
        <w:rPr>
          <w:szCs w:val="22"/>
          <w:lang w:bidi="ps-AF"/>
        </w:rPr>
        <w:t>Salaries of discretionary development projects must be in accordance with the salary scale in National Technical Assistance (NTA) and must not in any case exceed AFS 250,000. All organizations with NTA employees are assigned to reduce the level of this section to at least 15%. The Ministry of Finance shall oversee this process to implement the reduction of the NTA expenses.</w:t>
      </w:r>
    </w:p>
    <w:p w:rsidR="005160AF" w:rsidRPr="00704EBE" w:rsidRDefault="005160AF" w:rsidP="00873EC3">
      <w:pPr>
        <w:pStyle w:val="ListParagraph"/>
        <w:numPr>
          <w:ilvl w:val="0"/>
          <w:numId w:val="31"/>
        </w:numPr>
        <w:jc w:val="both"/>
        <w:rPr>
          <w:szCs w:val="22"/>
          <w:lang w:bidi="ps-AF"/>
        </w:rPr>
      </w:pPr>
      <w:r w:rsidRPr="00704EBE">
        <w:rPr>
          <w:szCs w:val="22"/>
          <w:lang w:bidi="ps-AF"/>
        </w:rPr>
        <w:t>All civil servants who are promoted to retirement shall not be rehired by the government entities. In exceptional cases, the written agreement of the Ministry of Finance and the ICARCS should be obtained.</w:t>
      </w:r>
    </w:p>
    <w:p w:rsidR="00704EBE" w:rsidRDefault="00704EBE">
      <w:pPr>
        <w:spacing w:after="160" w:line="259" w:lineRule="auto"/>
        <w:rPr>
          <w:szCs w:val="22"/>
        </w:rPr>
      </w:pPr>
      <w:r>
        <w:rPr>
          <w:szCs w:val="22"/>
        </w:rPr>
        <w:br w:type="page"/>
      </w:r>
    </w:p>
    <w:p w:rsidR="00CD2886" w:rsidRPr="00AE2C21" w:rsidRDefault="00CD2886" w:rsidP="00AE2C21">
      <w:pPr>
        <w:pStyle w:val="Heading1"/>
      </w:pPr>
      <w:bookmarkStart w:id="161" w:name="_Toc535744318"/>
      <w:bookmarkStart w:id="162" w:name="_Toc535750247"/>
      <w:r w:rsidRPr="00AE2C21">
        <w:lastRenderedPageBreak/>
        <w:t>New Policy Initiatives 2019</w:t>
      </w:r>
      <w:bookmarkEnd w:id="161"/>
      <w:bookmarkEnd w:id="162"/>
      <w:r w:rsidRPr="00AE2C21">
        <w:t xml:space="preserve"> </w:t>
      </w:r>
    </w:p>
    <w:p w:rsidR="00CD2886" w:rsidRPr="00AE2C21" w:rsidRDefault="00CD2886" w:rsidP="00AE2C21">
      <w:pPr>
        <w:pStyle w:val="Heading2"/>
      </w:pPr>
      <w:bookmarkStart w:id="163" w:name="_Toc535744319"/>
      <w:bookmarkStart w:id="164" w:name="_Toc535750248"/>
      <w:r w:rsidRPr="00AE2C21">
        <w:t>Overview</w:t>
      </w:r>
      <w:bookmarkEnd w:id="163"/>
      <w:bookmarkEnd w:id="164"/>
    </w:p>
    <w:p w:rsidR="00CD2886" w:rsidRPr="00482476" w:rsidRDefault="00CD2886" w:rsidP="00482476">
      <w:pPr>
        <w:spacing w:line="276" w:lineRule="auto"/>
        <w:jc w:val="both"/>
        <w:rPr>
          <w:szCs w:val="22"/>
          <w:lang w:bidi="ps-AF"/>
        </w:rPr>
      </w:pPr>
      <w:r w:rsidRPr="00482476">
        <w:rPr>
          <w:szCs w:val="22"/>
          <w:lang w:bidi="ps-AF"/>
        </w:rPr>
        <w:t xml:space="preserve">Afghanistan’s fiscal resources are limited, so budget outcomes must follow national priorities. Afghanistan’s broader development objectives are defined in the Afghanistan National Peace and Development Framework (ANPDF 2017-2021) - a five-year strategic plan for achieving self-reliance and improving welfare of Afghans. New policy priorities need to directly contribute to government’s growth agenda, revenue generation, service delivery and poverty reduction as outlined in the ANPDF and detailed in the National Priority Programs (NPPs).  </w:t>
      </w:r>
    </w:p>
    <w:p w:rsidR="00CD2886" w:rsidRPr="00AE2C21" w:rsidRDefault="00CD2886" w:rsidP="00AE2C21">
      <w:pPr>
        <w:pStyle w:val="Heading3"/>
        <w:rPr>
          <w:rFonts w:eastAsia="Calibri"/>
        </w:rPr>
      </w:pPr>
      <w:bookmarkStart w:id="165" w:name="_Toc535744320"/>
      <w:bookmarkStart w:id="166" w:name="_Toc535750249"/>
      <w:r w:rsidRPr="00AE2C21">
        <w:rPr>
          <w:rFonts w:eastAsia="Calibri"/>
        </w:rPr>
        <w:t>What are new policy initiatives?</w:t>
      </w:r>
      <w:bookmarkEnd w:id="165"/>
      <w:bookmarkEnd w:id="166"/>
    </w:p>
    <w:p w:rsidR="00CD2886" w:rsidRPr="00482476" w:rsidRDefault="00CD2886" w:rsidP="00482476">
      <w:pPr>
        <w:spacing w:line="276" w:lineRule="auto"/>
        <w:jc w:val="both"/>
        <w:rPr>
          <w:szCs w:val="22"/>
          <w:lang w:bidi="ps-AF"/>
        </w:rPr>
      </w:pPr>
      <w:r w:rsidRPr="00482476">
        <w:rPr>
          <w:szCs w:val="22"/>
          <w:lang w:bidi="ps-AF"/>
        </w:rPr>
        <w:t>New policy initiatives are policies, programs or projects that will start in 1398 (or later) as well as decisions that significantly change the scope and/or costs of previously approved programs.</w:t>
      </w:r>
    </w:p>
    <w:p w:rsidR="00CD2886" w:rsidRPr="00482476" w:rsidRDefault="00CD2886" w:rsidP="00482476">
      <w:pPr>
        <w:spacing w:line="276" w:lineRule="auto"/>
        <w:jc w:val="both"/>
        <w:rPr>
          <w:szCs w:val="22"/>
          <w:lang w:bidi="ps-AF"/>
        </w:rPr>
      </w:pPr>
      <w:r w:rsidRPr="00482476">
        <w:rPr>
          <w:szCs w:val="22"/>
          <w:lang w:bidi="ps-AF"/>
        </w:rPr>
        <w:t>The definition of new policy includes:</w:t>
      </w:r>
    </w:p>
    <w:p w:rsidR="00CD2886" w:rsidRPr="00482476" w:rsidRDefault="00CD2886" w:rsidP="00873EC3">
      <w:pPr>
        <w:pStyle w:val="ListParagraph"/>
        <w:numPr>
          <w:ilvl w:val="0"/>
          <w:numId w:val="35"/>
        </w:numPr>
        <w:spacing w:line="276" w:lineRule="auto"/>
        <w:jc w:val="both"/>
        <w:rPr>
          <w:szCs w:val="22"/>
          <w:lang w:bidi="ps-AF"/>
        </w:rPr>
      </w:pPr>
      <w:r w:rsidRPr="00482476">
        <w:rPr>
          <w:szCs w:val="22"/>
          <w:lang w:bidi="ps-AF"/>
        </w:rPr>
        <w:t>Changes to taxes and other measures which increase government receipts;</w:t>
      </w:r>
    </w:p>
    <w:p w:rsidR="00CD2886" w:rsidRPr="00482476" w:rsidRDefault="00CD2886" w:rsidP="00873EC3">
      <w:pPr>
        <w:pStyle w:val="ListParagraph"/>
        <w:numPr>
          <w:ilvl w:val="0"/>
          <w:numId w:val="35"/>
        </w:numPr>
        <w:spacing w:line="276" w:lineRule="auto"/>
        <w:jc w:val="both"/>
        <w:rPr>
          <w:szCs w:val="22"/>
          <w:lang w:bidi="ps-AF"/>
        </w:rPr>
      </w:pPr>
      <w:r w:rsidRPr="00482476">
        <w:rPr>
          <w:szCs w:val="22"/>
          <w:lang w:bidi="ps-AF"/>
        </w:rPr>
        <w:t xml:space="preserve">New spending initiatives; </w:t>
      </w:r>
    </w:p>
    <w:p w:rsidR="00CD2886" w:rsidRPr="00482476" w:rsidRDefault="00CD2886" w:rsidP="00873EC3">
      <w:pPr>
        <w:pStyle w:val="ListParagraph"/>
        <w:numPr>
          <w:ilvl w:val="0"/>
          <w:numId w:val="35"/>
        </w:numPr>
        <w:spacing w:line="276" w:lineRule="auto"/>
        <w:jc w:val="both"/>
        <w:rPr>
          <w:szCs w:val="22"/>
          <w:lang w:bidi="ps-AF"/>
        </w:rPr>
      </w:pPr>
      <w:r w:rsidRPr="00482476">
        <w:rPr>
          <w:szCs w:val="22"/>
          <w:lang w:bidi="ps-AF"/>
        </w:rPr>
        <w:t>Initiatives undertaken to reduce former unproductive government expenditure;</w:t>
      </w:r>
    </w:p>
    <w:p w:rsidR="00CD2886" w:rsidRPr="00482476" w:rsidRDefault="00CD2886" w:rsidP="00873EC3">
      <w:pPr>
        <w:pStyle w:val="ListParagraph"/>
        <w:numPr>
          <w:ilvl w:val="0"/>
          <w:numId w:val="35"/>
        </w:numPr>
        <w:spacing w:line="276" w:lineRule="auto"/>
        <w:jc w:val="both"/>
        <w:rPr>
          <w:szCs w:val="22"/>
          <w:lang w:bidi="ps-AF"/>
        </w:rPr>
      </w:pPr>
      <w:r w:rsidRPr="00482476">
        <w:rPr>
          <w:szCs w:val="22"/>
          <w:lang w:bidi="ps-AF"/>
        </w:rPr>
        <w:t xml:space="preserve">Changes the profile of expenditure in existing programs to reflect more realistic spending assumptions; </w:t>
      </w:r>
    </w:p>
    <w:p w:rsidR="00CD2886" w:rsidRPr="00482476" w:rsidRDefault="00CD2886" w:rsidP="00873EC3">
      <w:pPr>
        <w:pStyle w:val="ListParagraph"/>
        <w:numPr>
          <w:ilvl w:val="0"/>
          <w:numId w:val="35"/>
        </w:numPr>
        <w:spacing w:line="276" w:lineRule="auto"/>
        <w:jc w:val="both"/>
        <w:rPr>
          <w:szCs w:val="22"/>
          <w:lang w:bidi="ps-AF"/>
        </w:rPr>
      </w:pPr>
      <w:r w:rsidRPr="00482476">
        <w:rPr>
          <w:szCs w:val="22"/>
          <w:lang w:bidi="ps-AF"/>
        </w:rPr>
        <w:t>Implementation of the medium-term expenditure framework with forward estimates for revenue and expenditure for the budget and three forward years, including the end of program project commitments of the Government and of donors.</w:t>
      </w:r>
    </w:p>
    <w:p w:rsidR="00CD2886" w:rsidRPr="00AD5B9F" w:rsidRDefault="00CD2886" w:rsidP="00CD2886">
      <w:pPr>
        <w:spacing w:line="136" w:lineRule="exact"/>
        <w:jc w:val="both"/>
        <w:rPr>
          <w:rFonts w:asciiTheme="majorBidi" w:eastAsia="Times New Roman" w:hAnsiTheme="majorBidi" w:cstheme="majorBidi"/>
          <w:szCs w:val="22"/>
        </w:rPr>
      </w:pPr>
    </w:p>
    <w:p w:rsidR="00CD2886" w:rsidRPr="00482476" w:rsidRDefault="00CD2886" w:rsidP="00482476">
      <w:pPr>
        <w:spacing w:line="276" w:lineRule="auto"/>
        <w:jc w:val="both"/>
        <w:rPr>
          <w:szCs w:val="22"/>
          <w:lang w:bidi="ps-AF"/>
        </w:rPr>
      </w:pPr>
      <w:r w:rsidRPr="00482476">
        <w:rPr>
          <w:szCs w:val="22"/>
          <w:lang w:bidi="ps-AF"/>
        </w:rPr>
        <w:t>Although these are being disclosed to the people of Afghanistan in the budget for the first time, they are not changes in government policy and are not reported separately in this section.</w:t>
      </w:r>
    </w:p>
    <w:p w:rsidR="00CD2886" w:rsidRPr="00482476" w:rsidRDefault="00CD2886" w:rsidP="00482476">
      <w:pPr>
        <w:spacing w:line="276" w:lineRule="auto"/>
        <w:jc w:val="both"/>
        <w:rPr>
          <w:szCs w:val="22"/>
          <w:lang w:bidi="ps-AF"/>
        </w:rPr>
      </w:pPr>
      <w:r w:rsidRPr="00482476">
        <w:rPr>
          <w:szCs w:val="22"/>
          <w:lang w:bidi="ps-AF"/>
        </w:rPr>
        <w:t>For the 1397 Budget, only major policy initiatives will be described. In the future, the Government will include all new policy initiatives.</w:t>
      </w:r>
    </w:p>
    <w:p w:rsidR="00CD2886" w:rsidRPr="00482476" w:rsidRDefault="00CD2886" w:rsidP="00482476">
      <w:pPr>
        <w:spacing w:line="276" w:lineRule="auto"/>
        <w:jc w:val="both"/>
        <w:rPr>
          <w:szCs w:val="22"/>
          <w:lang w:bidi="ps-AF"/>
        </w:rPr>
      </w:pPr>
      <w:r w:rsidRPr="00482476">
        <w:rPr>
          <w:szCs w:val="22"/>
          <w:lang w:bidi="ps-AF"/>
        </w:rPr>
        <w:t>Changes to revenue/receipts and expenditure (both positive and negative) are discussed in separate sections. Each section is listed by sector. Where a Ministry or Agency does not appear, either in revenue or expenditure, no major policy initiatives are being announced by the Government. A Ministry/Agency may appear in one section, but not the other.</w:t>
      </w:r>
    </w:p>
    <w:p w:rsidR="00CD2886" w:rsidRPr="00AE2C21" w:rsidRDefault="00CD2886" w:rsidP="00AE2C21">
      <w:pPr>
        <w:pStyle w:val="Heading3"/>
        <w:rPr>
          <w:rFonts w:eastAsia="Garamond"/>
        </w:rPr>
      </w:pPr>
      <w:bookmarkStart w:id="167" w:name="_Toc535744321"/>
      <w:bookmarkStart w:id="168" w:name="_Toc535750250"/>
      <w:r w:rsidRPr="00AE2C21">
        <w:rPr>
          <w:rFonts w:eastAsia="Garamond"/>
        </w:rPr>
        <w:t>Layout and recommendations to increase revenue</w:t>
      </w:r>
      <w:bookmarkEnd w:id="167"/>
      <w:bookmarkEnd w:id="168"/>
    </w:p>
    <w:p w:rsidR="00CD2886" w:rsidRPr="00482476" w:rsidRDefault="00CD2886" w:rsidP="00482476">
      <w:pPr>
        <w:spacing w:line="276" w:lineRule="auto"/>
        <w:jc w:val="both"/>
        <w:rPr>
          <w:szCs w:val="22"/>
          <w:lang w:bidi="ps-AF"/>
        </w:rPr>
      </w:pPr>
      <w:r w:rsidRPr="00482476">
        <w:rPr>
          <w:szCs w:val="22"/>
          <w:lang w:bidi="ps-AF"/>
        </w:rPr>
        <w:t xml:space="preserve">As apparent, Afghanistan has been reliant on donor assistance throughout years which financed major part of the national budget; however, donor assistance particularly to the national budget will decrease through time forcing afghan government to search new ways towards self-reliance. Among others, one could be enhancing and introducing new revenue fountains through analysis of available sources of revenue within the capital and provinces and identifying revenue channels. </w:t>
      </w:r>
    </w:p>
    <w:p w:rsidR="00CD2886" w:rsidRPr="00482476" w:rsidRDefault="00CD2886" w:rsidP="00482476">
      <w:pPr>
        <w:spacing w:line="276" w:lineRule="auto"/>
        <w:jc w:val="both"/>
        <w:rPr>
          <w:szCs w:val="22"/>
          <w:lang w:bidi="ps-AF"/>
        </w:rPr>
      </w:pPr>
      <w:r w:rsidRPr="00482476">
        <w:rPr>
          <w:szCs w:val="22"/>
          <w:lang w:bidi="ps-AF"/>
        </w:rPr>
        <w:t xml:space="preserve">Most important measures increasing domestic revenue include: </w:t>
      </w:r>
    </w:p>
    <w:p w:rsidR="00CD2886" w:rsidRPr="00482476" w:rsidRDefault="00CD2886" w:rsidP="00873EC3">
      <w:pPr>
        <w:pStyle w:val="ListParagraph"/>
        <w:numPr>
          <w:ilvl w:val="0"/>
          <w:numId w:val="36"/>
        </w:numPr>
        <w:spacing w:line="276" w:lineRule="auto"/>
        <w:jc w:val="both"/>
        <w:rPr>
          <w:szCs w:val="22"/>
          <w:lang w:bidi="ps-AF"/>
        </w:rPr>
      </w:pPr>
      <w:r w:rsidRPr="00482476">
        <w:rPr>
          <w:szCs w:val="22"/>
          <w:lang w:bidi="ps-AF"/>
        </w:rPr>
        <w:t>Paying incentive to members of staff aimed at professional service delivery and corruption prevention and similarly to avoid collection of revenue in the shape of physical money, MoF in coordination with the DAB will assess possibility of establishing bank branches and will accordingly create a comprehensive mechanism and will revise and amend respective laws as required;</w:t>
      </w:r>
    </w:p>
    <w:p w:rsidR="00CD2886" w:rsidRPr="00482476" w:rsidRDefault="00CD2886" w:rsidP="00873EC3">
      <w:pPr>
        <w:pStyle w:val="ListParagraph"/>
        <w:numPr>
          <w:ilvl w:val="0"/>
          <w:numId w:val="36"/>
        </w:numPr>
        <w:spacing w:line="276" w:lineRule="auto"/>
        <w:jc w:val="both"/>
        <w:rPr>
          <w:szCs w:val="22"/>
          <w:lang w:bidi="ps-AF"/>
        </w:rPr>
      </w:pPr>
      <w:r w:rsidRPr="00482476">
        <w:rPr>
          <w:szCs w:val="22"/>
          <w:lang w:bidi="ps-AF"/>
        </w:rPr>
        <w:lastRenderedPageBreak/>
        <w:t>Enhancing public awareness programs and including Tax subject into the university curriculum to promote culture of taxes;</w:t>
      </w:r>
    </w:p>
    <w:p w:rsidR="00CD2886" w:rsidRPr="00482476" w:rsidRDefault="00CD2886" w:rsidP="00873EC3">
      <w:pPr>
        <w:pStyle w:val="ListParagraph"/>
        <w:numPr>
          <w:ilvl w:val="0"/>
          <w:numId w:val="36"/>
        </w:numPr>
        <w:spacing w:line="276" w:lineRule="auto"/>
        <w:jc w:val="both"/>
        <w:rPr>
          <w:szCs w:val="22"/>
          <w:lang w:bidi="ps-AF"/>
        </w:rPr>
      </w:pPr>
      <w:r w:rsidRPr="00482476">
        <w:rPr>
          <w:szCs w:val="22"/>
          <w:lang w:bidi="ps-AF"/>
        </w:rPr>
        <w:t>Adopt necessary measures to better collect  non-tax revenue through meetings with ministers and officials of government agencies;</w:t>
      </w:r>
    </w:p>
    <w:p w:rsidR="00CD2886" w:rsidRPr="00482476" w:rsidRDefault="00CD2886" w:rsidP="00873EC3">
      <w:pPr>
        <w:pStyle w:val="ListParagraph"/>
        <w:numPr>
          <w:ilvl w:val="0"/>
          <w:numId w:val="36"/>
        </w:numPr>
        <w:spacing w:line="276" w:lineRule="auto"/>
        <w:jc w:val="both"/>
        <w:rPr>
          <w:szCs w:val="22"/>
          <w:lang w:bidi="ps-AF"/>
        </w:rPr>
      </w:pPr>
      <w:r w:rsidRPr="00482476">
        <w:rPr>
          <w:szCs w:val="22"/>
          <w:lang w:bidi="ps-AF"/>
        </w:rPr>
        <w:t>MoM in cooperation with the security sector shall adopt measures to avoid illegal and unprofessional extraction and smuggling of mines, transfer royalty and other tax and custom duties to the government account and if possible, strengthen and invest on enterprises active in the field of mines;</w:t>
      </w:r>
    </w:p>
    <w:p w:rsidR="00CD2886" w:rsidRPr="00482476" w:rsidRDefault="00CD2886" w:rsidP="00873EC3">
      <w:pPr>
        <w:pStyle w:val="ListParagraph"/>
        <w:numPr>
          <w:ilvl w:val="0"/>
          <w:numId w:val="36"/>
        </w:numPr>
        <w:spacing w:line="276" w:lineRule="auto"/>
        <w:jc w:val="both"/>
        <w:rPr>
          <w:szCs w:val="22"/>
          <w:lang w:bidi="ps-AF"/>
        </w:rPr>
      </w:pPr>
      <w:r w:rsidRPr="00482476">
        <w:rPr>
          <w:szCs w:val="22"/>
          <w:lang w:bidi="ps-AF"/>
        </w:rPr>
        <w:t>MoF in understanding with the MoM shall establish Single Mine Account to collect its revenue within the capital and  provinces aimed at prevention of disperse revenue  collection;</w:t>
      </w:r>
    </w:p>
    <w:p w:rsidR="00CD2886" w:rsidRPr="00482476" w:rsidRDefault="00CD2886" w:rsidP="00873EC3">
      <w:pPr>
        <w:pStyle w:val="ListParagraph"/>
        <w:numPr>
          <w:ilvl w:val="0"/>
          <w:numId w:val="36"/>
        </w:numPr>
        <w:spacing w:line="276" w:lineRule="auto"/>
        <w:jc w:val="both"/>
        <w:rPr>
          <w:szCs w:val="22"/>
          <w:lang w:bidi="ps-AF"/>
        </w:rPr>
      </w:pPr>
      <w:r w:rsidRPr="00482476">
        <w:rPr>
          <w:szCs w:val="22"/>
          <w:lang w:bidi="ps-AF"/>
        </w:rPr>
        <w:t xml:space="preserve">Establish Tax Intelligence Agency to avoid tax scape (access to asset registration forms), expanding number of tax payers and preventing tax concealment;  </w:t>
      </w:r>
    </w:p>
    <w:p w:rsidR="00CD2886" w:rsidRPr="00482476" w:rsidRDefault="00CD2886" w:rsidP="00873EC3">
      <w:pPr>
        <w:pStyle w:val="ListParagraph"/>
        <w:numPr>
          <w:ilvl w:val="0"/>
          <w:numId w:val="36"/>
        </w:numPr>
        <w:spacing w:line="276" w:lineRule="auto"/>
        <w:jc w:val="both"/>
        <w:rPr>
          <w:szCs w:val="22"/>
          <w:lang w:bidi="ps-AF"/>
        </w:rPr>
      </w:pPr>
      <w:r w:rsidRPr="00482476">
        <w:rPr>
          <w:szCs w:val="22"/>
          <w:lang w:bidi="ps-AF"/>
        </w:rPr>
        <w:t>Establish provincial revenue committee within the office of the provincial governor participated by the Head of the Provincial Council, NDS Director, Police Headquarters Head of Security, Provincial Directors of the MoFA, Justice, Economy, Communication, Transportation as well as Revenue Managers and Officers of Mustofiats;</w:t>
      </w:r>
    </w:p>
    <w:p w:rsidR="00CD2886" w:rsidRPr="00482476" w:rsidRDefault="00CD2886" w:rsidP="00873EC3">
      <w:pPr>
        <w:pStyle w:val="ListParagraph"/>
        <w:numPr>
          <w:ilvl w:val="0"/>
          <w:numId w:val="36"/>
        </w:numPr>
        <w:spacing w:line="276" w:lineRule="auto"/>
        <w:jc w:val="both"/>
        <w:rPr>
          <w:szCs w:val="22"/>
          <w:lang w:bidi="ps-AF"/>
        </w:rPr>
      </w:pPr>
      <w:r w:rsidRPr="00482476">
        <w:rPr>
          <w:szCs w:val="22"/>
          <w:lang w:bidi="ps-AF"/>
        </w:rPr>
        <w:t>Further simplification of tax evaluation and clearance process within the capital and provinces;</w:t>
      </w:r>
    </w:p>
    <w:p w:rsidR="00CD2886" w:rsidRPr="00482476" w:rsidRDefault="00CD2886" w:rsidP="00873EC3">
      <w:pPr>
        <w:pStyle w:val="ListParagraph"/>
        <w:numPr>
          <w:ilvl w:val="0"/>
          <w:numId w:val="36"/>
        </w:numPr>
        <w:spacing w:line="276" w:lineRule="auto"/>
        <w:jc w:val="both"/>
        <w:rPr>
          <w:szCs w:val="22"/>
          <w:lang w:bidi="ps-AF"/>
        </w:rPr>
      </w:pPr>
      <w:r w:rsidRPr="00482476">
        <w:rPr>
          <w:szCs w:val="22"/>
          <w:lang w:bidi="ps-AF"/>
        </w:rPr>
        <w:t xml:space="preserve">Ministries and independent agencies shall evaluate type and amount of their fees taking into consideration economic and social situation every three years; </w:t>
      </w:r>
    </w:p>
    <w:p w:rsidR="00CD2886" w:rsidRPr="00482476" w:rsidRDefault="00CD2886" w:rsidP="00873EC3">
      <w:pPr>
        <w:pStyle w:val="ListParagraph"/>
        <w:numPr>
          <w:ilvl w:val="0"/>
          <w:numId w:val="36"/>
        </w:numPr>
        <w:spacing w:line="276" w:lineRule="auto"/>
        <w:jc w:val="both"/>
        <w:rPr>
          <w:szCs w:val="22"/>
          <w:lang w:bidi="ps-AF"/>
        </w:rPr>
      </w:pPr>
      <w:r w:rsidRPr="00482476">
        <w:rPr>
          <w:szCs w:val="22"/>
          <w:lang w:bidi="ps-AF"/>
        </w:rPr>
        <w:t>Analyze and evaluate ministries and independent agencies revenue resources for the purposes of identifying areas in which revenues are wasted and developing policies to avoid its wastage and also to improve quality of ministries and independent agencies valuable instruments;</w:t>
      </w:r>
    </w:p>
    <w:p w:rsidR="00CD2886" w:rsidRPr="00482476" w:rsidRDefault="00CD2886" w:rsidP="00873EC3">
      <w:pPr>
        <w:pStyle w:val="ListParagraph"/>
        <w:numPr>
          <w:ilvl w:val="0"/>
          <w:numId w:val="36"/>
        </w:numPr>
        <w:spacing w:line="276" w:lineRule="auto"/>
        <w:jc w:val="both"/>
        <w:rPr>
          <w:szCs w:val="22"/>
          <w:lang w:bidi="ps-AF"/>
        </w:rPr>
      </w:pPr>
      <w:r w:rsidRPr="00482476">
        <w:rPr>
          <w:szCs w:val="22"/>
          <w:lang w:bidi="ps-AF"/>
        </w:rPr>
        <w:t>Establish unified mechanism to timely collect and transfer non-tax revenue of government foreign units (Embassies, Consulates, Transport and Commercial Attaches),</w:t>
      </w:r>
    </w:p>
    <w:p w:rsidR="00CD2886" w:rsidRPr="00482476" w:rsidRDefault="00CD2886" w:rsidP="00873EC3">
      <w:pPr>
        <w:pStyle w:val="ListParagraph"/>
        <w:numPr>
          <w:ilvl w:val="0"/>
          <w:numId w:val="36"/>
        </w:numPr>
        <w:spacing w:line="276" w:lineRule="auto"/>
        <w:jc w:val="both"/>
        <w:rPr>
          <w:szCs w:val="22"/>
          <w:lang w:bidi="ps-AF"/>
        </w:rPr>
      </w:pPr>
      <w:r w:rsidRPr="00482476">
        <w:rPr>
          <w:szCs w:val="22"/>
          <w:lang w:bidi="ps-AF"/>
        </w:rPr>
        <w:t>Implement electronic system of presenting manifests and tax payers access to Online Tax Forms (Fast Track Filing) in other agencies;</w:t>
      </w:r>
    </w:p>
    <w:p w:rsidR="00CD2886" w:rsidRPr="00482476" w:rsidRDefault="00CD2886" w:rsidP="00873EC3">
      <w:pPr>
        <w:pStyle w:val="ListParagraph"/>
        <w:numPr>
          <w:ilvl w:val="0"/>
          <w:numId w:val="36"/>
        </w:numPr>
        <w:spacing w:line="276" w:lineRule="auto"/>
        <w:jc w:val="both"/>
        <w:rPr>
          <w:szCs w:val="22"/>
          <w:lang w:bidi="ps-AF"/>
        </w:rPr>
      </w:pPr>
      <w:r w:rsidRPr="00482476">
        <w:rPr>
          <w:szCs w:val="22"/>
          <w:lang w:bidi="ps-AF"/>
        </w:rPr>
        <w:t xml:space="preserve">Beginning the process of tax accountants to provide tax payers with tax services (tax payers access to tax services by representatives or agents as legal sources; </w:t>
      </w:r>
    </w:p>
    <w:p w:rsidR="00CD2886" w:rsidRPr="00482476" w:rsidRDefault="00CD2886" w:rsidP="00873EC3">
      <w:pPr>
        <w:pStyle w:val="ListParagraph"/>
        <w:numPr>
          <w:ilvl w:val="0"/>
          <w:numId w:val="36"/>
        </w:numPr>
        <w:spacing w:line="276" w:lineRule="auto"/>
        <w:jc w:val="both"/>
        <w:rPr>
          <w:szCs w:val="22"/>
          <w:lang w:bidi="ps-AF"/>
        </w:rPr>
      </w:pPr>
      <w:r w:rsidRPr="00482476">
        <w:rPr>
          <w:szCs w:val="22"/>
          <w:lang w:bidi="ps-AF"/>
        </w:rPr>
        <w:t>Adopt measures necessary for implementation of value added tax in coordination with customs and other respective agencies;</w:t>
      </w:r>
    </w:p>
    <w:p w:rsidR="00CD2886" w:rsidRPr="00482476" w:rsidRDefault="00CD2886" w:rsidP="00482476">
      <w:pPr>
        <w:spacing w:line="276" w:lineRule="auto"/>
        <w:jc w:val="both"/>
        <w:rPr>
          <w:szCs w:val="22"/>
          <w:lang w:bidi="ps-AF"/>
        </w:rPr>
      </w:pPr>
      <w:r w:rsidRPr="00482476">
        <w:rPr>
          <w:szCs w:val="22"/>
          <w:lang w:bidi="ps-AF"/>
        </w:rPr>
        <w:t>Perform hazard based compliance in new five second grade provinces to establish hazard based compliance committee, extension and implementation of hazard based evaluation process;</w:t>
      </w:r>
    </w:p>
    <w:p w:rsidR="009349A1" w:rsidRPr="00AE2C21" w:rsidRDefault="009349A1" w:rsidP="00AE2C21">
      <w:pPr>
        <w:pStyle w:val="Heading3"/>
      </w:pPr>
      <w:bookmarkStart w:id="169" w:name="_Toc535744322"/>
      <w:bookmarkStart w:id="170" w:name="_Toc535750251"/>
      <w:r w:rsidRPr="00AE2C21">
        <w:t>Reforms in the 1398 Budget</w:t>
      </w:r>
      <w:bookmarkEnd w:id="169"/>
      <w:bookmarkEnd w:id="170"/>
    </w:p>
    <w:p w:rsidR="009349A1" w:rsidRPr="00482476" w:rsidRDefault="009349A1" w:rsidP="00482476">
      <w:pPr>
        <w:spacing w:line="276" w:lineRule="auto"/>
        <w:jc w:val="both"/>
        <w:rPr>
          <w:szCs w:val="22"/>
          <w:lang w:bidi="ps-AF"/>
        </w:rPr>
      </w:pPr>
      <w:r w:rsidRPr="00482476">
        <w:rPr>
          <w:b/>
          <w:bCs/>
          <w:szCs w:val="22"/>
          <w:lang w:bidi="ps-AF"/>
        </w:rPr>
        <w:t>Linking policy to the budget</w:t>
      </w:r>
      <w:r w:rsidRPr="00482476">
        <w:rPr>
          <w:szCs w:val="22"/>
          <w:lang w:bidi="ps-AF"/>
        </w:rPr>
        <w:t xml:space="preserve">: With rolling forward estimates the Government has put in place a forward-looking budget where decisions are taken for the medium-term, not only for the budget year. Forward estimates represent a comprehensive estimate of the current cost of existing Government policy within existing budget constraints. New policies are funded either through savings in existing portfolio or available fiscal space is given to new policies that are government priority with clear results to improve the welfare of Afghans. </w:t>
      </w:r>
    </w:p>
    <w:p w:rsidR="009349A1" w:rsidRPr="00482476" w:rsidRDefault="009349A1" w:rsidP="00482476">
      <w:pPr>
        <w:spacing w:line="276" w:lineRule="auto"/>
        <w:jc w:val="both"/>
        <w:rPr>
          <w:szCs w:val="22"/>
          <w:lang w:bidi="ps-AF"/>
        </w:rPr>
      </w:pPr>
      <w:r w:rsidRPr="00482476">
        <w:rPr>
          <w:szCs w:val="22"/>
          <w:lang w:bidi="ps-AF"/>
        </w:rPr>
        <w:t xml:space="preserve">Where the NPPs have fully developed implementation plans, the existing portfolio of ministries was reviewed to align with NPP objectives. Over the next few years the Government will concentrate on reviewing base assumptions on existing policies and removing poor performing </w:t>
      </w:r>
      <w:r w:rsidRPr="00482476">
        <w:rPr>
          <w:szCs w:val="22"/>
          <w:lang w:bidi="ps-AF"/>
        </w:rPr>
        <w:lastRenderedPageBreak/>
        <w:t xml:space="preserve">or low priority activities. This will mean a rolling program of savings measures to complement the introduction of new programs in line with the ANPDF objectives.  </w:t>
      </w:r>
    </w:p>
    <w:p w:rsidR="009349A1" w:rsidRPr="00482476" w:rsidRDefault="009349A1" w:rsidP="00482476">
      <w:pPr>
        <w:spacing w:line="276" w:lineRule="auto"/>
        <w:jc w:val="both"/>
        <w:rPr>
          <w:szCs w:val="22"/>
          <w:lang w:bidi="ps-AF"/>
        </w:rPr>
      </w:pPr>
      <w:r w:rsidRPr="000C26DE">
        <w:rPr>
          <w:b/>
          <w:bCs/>
          <w:szCs w:val="22"/>
          <w:lang w:bidi="ps-AF"/>
        </w:rPr>
        <w:t>Further defining National Priority Programs in 2018:</w:t>
      </w:r>
      <w:r w:rsidRPr="00482476">
        <w:rPr>
          <w:szCs w:val="22"/>
          <w:lang w:bidi="ps-AF"/>
        </w:rPr>
        <w:t xml:space="preserve"> The government promised to implement the ANPDF, to improve the lives of Afghans, our economy, and bring about a peaceful and prosperous Afghanistan. Turning strategy into action requires prioritizing spending on interventions that help us reach these peace and development goals, by ensuring Line Ministries have proper policy guidance through National Priority Programs. Our NPPs are outcome focused thematic programs that guide ministries towards collective problem solving on the critical policy issues and development goals. NPP budgets are developed based on consideration of fiscal space with realistic forward cost estimates, in line with the PFM reform process. NPPs play a key role in improving the alignment between policy and budgeting, ensuring new budget proposals are aligned with the relevant NPPs. Developing them has not been easy, but we have made significant progress in the highest priority areas. </w:t>
      </w:r>
    </w:p>
    <w:p w:rsidR="009349A1" w:rsidRPr="00482476" w:rsidRDefault="009349A1" w:rsidP="00482476">
      <w:pPr>
        <w:spacing w:line="276" w:lineRule="auto"/>
        <w:jc w:val="both"/>
        <w:rPr>
          <w:szCs w:val="22"/>
          <w:lang w:bidi="ps-AF"/>
        </w:rPr>
      </w:pPr>
      <w:r w:rsidRPr="00482476">
        <w:rPr>
          <w:szCs w:val="22"/>
          <w:lang w:bidi="ps-AF"/>
        </w:rPr>
        <w:t>All NPPs share a number of common principles. Investment proposals under an NPP umbrella must:</w:t>
      </w:r>
    </w:p>
    <w:p w:rsidR="009349A1" w:rsidRPr="00482476" w:rsidRDefault="009349A1" w:rsidP="00873EC3">
      <w:pPr>
        <w:pStyle w:val="ListParagraph"/>
        <w:numPr>
          <w:ilvl w:val="0"/>
          <w:numId w:val="37"/>
        </w:numPr>
        <w:spacing w:line="276" w:lineRule="auto"/>
        <w:jc w:val="both"/>
        <w:rPr>
          <w:szCs w:val="22"/>
          <w:lang w:bidi="ps-AF"/>
        </w:rPr>
      </w:pPr>
      <w:r w:rsidRPr="00482476">
        <w:rPr>
          <w:szCs w:val="22"/>
          <w:lang w:bidi="ps-AF"/>
        </w:rPr>
        <w:t>Be national in scope, with careful attention to ensuring geographical balance and gender responsiveness</w:t>
      </w:r>
    </w:p>
    <w:p w:rsidR="009349A1" w:rsidRPr="00482476" w:rsidRDefault="009349A1" w:rsidP="00873EC3">
      <w:pPr>
        <w:pStyle w:val="ListParagraph"/>
        <w:numPr>
          <w:ilvl w:val="0"/>
          <w:numId w:val="37"/>
        </w:numPr>
        <w:spacing w:line="276" w:lineRule="auto"/>
        <w:jc w:val="both"/>
        <w:rPr>
          <w:szCs w:val="22"/>
          <w:lang w:bidi="ps-AF"/>
        </w:rPr>
      </w:pPr>
      <w:r w:rsidRPr="00482476">
        <w:rPr>
          <w:szCs w:val="22"/>
          <w:lang w:bidi="ps-AF"/>
        </w:rPr>
        <w:t>Reduce poverty, generate growth and improve welfare of Afghans</w:t>
      </w:r>
    </w:p>
    <w:p w:rsidR="009349A1" w:rsidRPr="00482476" w:rsidRDefault="009349A1" w:rsidP="00873EC3">
      <w:pPr>
        <w:pStyle w:val="ListParagraph"/>
        <w:numPr>
          <w:ilvl w:val="0"/>
          <w:numId w:val="37"/>
        </w:numPr>
        <w:spacing w:line="276" w:lineRule="auto"/>
        <w:jc w:val="both"/>
        <w:rPr>
          <w:szCs w:val="22"/>
          <w:lang w:bidi="ps-AF"/>
        </w:rPr>
      </w:pPr>
      <w:r w:rsidRPr="00482476">
        <w:rPr>
          <w:szCs w:val="22"/>
          <w:lang w:bidi="ps-AF"/>
        </w:rPr>
        <w:t>Follow the government’s new rules on incorporating accurate forward cost estimates for operations and maintenance</w:t>
      </w:r>
    </w:p>
    <w:p w:rsidR="009349A1" w:rsidRPr="00482476" w:rsidRDefault="009349A1" w:rsidP="00873EC3">
      <w:pPr>
        <w:pStyle w:val="ListParagraph"/>
        <w:numPr>
          <w:ilvl w:val="0"/>
          <w:numId w:val="37"/>
        </w:numPr>
        <w:spacing w:line="276" w:lineRule="auto"/>
        <w:jc w:val="both"/>
        <w:rPr>
          <w:szCs w:val="22"/>
          <w:lang w:bidi="ps-AF"/>
        </w:rPr>
      </w:pPr>
      <w:r w:rsidRPr="00482476">
        <w:rPr>
          <w:szCs w:val="22"/>
          <w:lang w:bidi="ps-AF"/>
        </w:rPr>
        <w:t xml:space="preserve">Have strong rationale and implement a coordinated approach to problem solving </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287"/>
        <w:gridCol w:w="4235"/>
      </w:tblGrid>
      <w:tr w:rsidR="009349A1" w:rsidRPr="00482476" w:rsidTr="00482476">
        <w:trPr>
          <w:jc w:val="center"/>
        </w:trPr>
        <w:tc>
          <w:tcPr>
            <w:tcW w:w="4287" w:type="dxa"/>
            <w:tcBorders>
              <w:top w:val="single" w:sz="4" w:space="0" w:color="auto"/>
              <w:bottom w:val="single" w:sz="4" w:space="0" w:color="auto"/>
              <w:right w:val="single" w:sz="4" w:space="0" w:color="auto"/>
            </w:tcBorders>
            <w:shd w:val="clear" w:color="auto" w:fill="E2EFD9" w:themeFill="accent6" w:themeFillTint="33"/>
          </w:tcPr>
          <w:p w:rsidR="009349A1" w:rsidRPr="00482476" w:rsidRDefault="009349A1" w:rsidP="00E605D8">
            <w:pPr>
              <w:jc w:val="center"/>
              <w:rPr>
                <w:rFonts w:cstheme="majorBidi"/>
                <w:szCs w:val="22"/>
              </w:rPr>
            </w:pPr>
            <w:r w:rsidRPr="00482476">
              <w:rPr>
                <w:rFonts w:cstheme="majorBidi"/>
                <w:szCs w:val="22"/>
              </w:rPr>
              <w:t>Completed NPPs that have been rolled out and are being implemented.</w:t>
            </w:r>
          </w:p>
        </w:tc>
        <w:tc>
          <w:tcPr>
            <w:tcW w:w="4235" w:type="dxa"/>
            <w:tcBorders>
              <w:top w:val="single" w:sz="4" w:space="0" w:color="auto"/>
              <w:left w:val="single" w:sz="4" w:space="0" w:color="auto"/>
              <w:bottom w:val="single" w:sz="4" w:space="0" w:color="auto"/>
            </w:tcBorders>
            <w:shd w:val="clear" w:color="auto" w:fill="FFF2CC" w:themeFill="accent4" w:themeFillTint="33"/>
          </w:tcPr>
          <w:p w:rsidR="009349A1" w:rsidRPr="00482476" w:rsidRDefault="009349A1" w:rsidP="008E01DF">
            <w:pPr>
              <w:rPr>
                <w:rFonts w:cstheme="majorBidi"/>
                <w:szCs w:val="22"/>
              </w:rPr>
            </w:pPr>
            <w:r w:rsidRPr="00482476">
              <w:rPr>
                <w:rFonts w:cstheme="majorBidi"/>
                <w:szCs w:val="22"/>
              </w:rPr>
              <w:t>NPPs completed in 2018, with components at various stages of planning and implementation</w:t>
            </w:r>
          </w:p>
        </w:tc>
      </w:tr>
      <w:tr w:rsidR="009349A1" w:rsidRPr="00482476" w:rsidTr="00482476">
        <w:trPr>
          <w:jc w:val="center"/>
        </w:trPr>
        <w:tc>
          <w:tcPr>
            <w:tcW w:w="4287" w:type="dxa"/>
            <w:tcBorders>
              <w:top w:val="single" w:sz="4" w:space="0" w:color="auto"/>
              <w:bottom w:val="single" w:sz="4" w:space="0" w:color="auto"/>
              <w:right w:val="single" w:sz="4" w:space="0" w:color="auto"/>
            </w:tcBorders>
          </w:tcPr>
          <w:p w:rsidR="009349A1" w:rsidRPr="00482476" w:rsidRDefault="009349A1" w:rsidP="00873EC3">
            <w:pPr>
              <w:pStyle w:val="ListParagraph"/>
              <w:numPr>
                <w:ilvl w:val="0"/>
                <w:numId w:val="9"/>
              </w:numPr>
              <w:contextualSpacing w:val="0"/>
              <w:rPr>
                <w:rFonts w:cstheme="majorBidi"/>
                <w:color w:val="414142"/>
                <w:szCs w:val="22"/>
              </w:rPr>
            </w:pPr>
            <w:r w:rsidRPr="00482476">
              <w:rPr>
                <w:rFonts w:cstheme="majorBidi"/>
                <w:color w:val="414142"/>
                <w:szCs w:val="22"/>
              </w:rPr>
              <w:t>Citizens’ Charter (rolled out May 2017)</w:t>
            </w:r>
          </w:p>
          <w:p w:rsidR="009349A1" w:rsidRPr="00482476" w:rsidRDefault="009349A1" w:rsidP="00873EC3">
            <w:pPr>
              <w:pStyle w:val="ListParagraph"/>
              <w:numPr>
                <w:ilvl w:val="0"/>
                <w:numId w:val="9"/>
              </w:numPr>
              <w:contextualSpacing w:val="0"/>
              <w:rPr>
                <w:rFonts w:cstheme="majorBidi"/>
                <w:color w:val="414142"/>
                <w:szCs w:val="22"/>
              </w:rPr>
            </w:pPr>
            <w:r w:rsidRPr="00482476">
              <w:rPr>
                <w:rFonts w:cstheme="majorBidi"/>
                <w:color w:val="414142"/>
                <w:szCs w:val="22"/>
              </w:rPr>
              <w:t>Women’s Economic Empowerment (launched March 2017)</w:t>
            </w:r>
          </w:p>
          <w:p w:rsidR="009349A1" w:rsidRPr="00482476" w:rsidRDefault="009349A1" w:rsidP="00873EC3">
            <w:pPr>
              <w:pStyle w:val="ListParagraph"/>
              <w:numPr>
                <w:ilvl w:val="0"/>
                <w:numId w:val="9"/>
              </w:numPr>
              <w:contextualSpacing w:val="0"/>
              <w:rPr>
                <w:rFonts w:cstheme="majorBidi"/>
                <w:color w:val="414142"/>
                <w:szCs w:val="22"/>
              </w:rPr>
            </w:pPr>
            <w:r w:rsidRPr="00482476">
              <w:rPr>
                <w:rFonts w:cstheme="majorBidi"/>
                <w:color w:val="414142"/>
                <w:szCs w:val="22"/>
              </w:rPr>
              <w:t>National Infrastructure Plan (2016)</w:t>
            </w:r>
          </w:p>
          <w:p w:rsidR="009349A1" w:rsidRPr="00482476" w:rsidRDefault="009349A1" w:rsidP="00873EC3">
            <w:pPr>
              <w:pStyle w:val="ListParagraph"/>
              <w:numPr>
                <w:ilvl w:val="0"/>
                <w:numId w:val="9"/>
              </w:numPr>
              <w:contextualSpacing w:val="0"/>
              <w:rPr>
                <w:rFonts w:cstheme="majorBidi"/>
                <w:color w:val="414142"/>
                <w:szCs w:val="22"/>
              </w:rPr>
            </w:pPr>
            <w:r w:rsidRPr="00482476">
              <w:rPr>
                <w:rFonts w:cstheme="majorBidi"/>
                <w:color w:val="414142"/>
                <w:szCs w:val="22"/>
              </w:rPr>
              <w:t>Justice Sector Reform Plan (Approved 2017)</w:t>
            </w:r>
          </w:p>
          <w:p w:rsidR="009349A1" w:rsidRPr="00482476" w:rsidRDefault="009349A1" w:rsidP="00873EC3">
            <w:pPr>
              <w:pStyle w:val="ListParagraph"/>
              <w:numPr>
                <w:ilvl w:val="0"/>
                <w:numId w:val="9"/>
              </w:numPr>
              <w:contextualSpacing w:val="0"/>
              <w:rPr>
                <w:rFonts w:cstheme="majorBidi"/>
                <w:szCs w:val="22"/>
              </w:rPr>
            </w:pPr>
            <w:r w:rsidRPr="00482476">
              <w:rPr>
                <w:rFonts w:cstheme="majorBidi"/>
                <w:color w:val="414142"/>
                <w:szCs w:val="22"/>
              </w:rPr>
              <w:t>Comprehensive Agriculture Development (Approved October 2016)</w:t>
            </w:r>
          </w:p>
          <w:p w:rsidR="009349A1" w:rsidRPr="00482476" w:rsidRDefault="009349A1" w:rsidP="00873EC3">
            <w:pPr>
              <w:pStyle w:val="ListParagraph"/>
              <w:numPr>
                <w:ilvl w:val="0"/>
                <w:numId w:val="9"/>
              </w:numPr>
              <w:contextualSpacing w:val="0"/>
              <w:rPr>
                <w:rFonts w:cstheme="majorBidi"/>
                <w:szCs w:val="22"/>
              </w:rPr>
            </w:pPr>
            <w:r w:rsidRPr="00482476">
              <w:rPr>
                <w:rFonts w:cstheme="majorBidi"/>
                <w:color w:val="414142"/>
                <w:szCs w:val="22"/>
              </w:rPr>
              <w:t>Urban NPP (Approved July 2016)</w:t>
            </w:r>
          </w:p>
        </w:tc>
        <w:tc>
          <w:tcPr>
            <w:tcW w:w="4235" w:type="dxa"/>
            <w:tcBorders>
              <w:top w:val="single" w:sz="4" w:space="0" w:color="auto"/>
              <w:left w:val="single" w:sz="4" w:space="0" w:color="auto"/>
            </w:tcBorders>
          </w:tcPr>
          <w:p w:rsidR="009349A1" w:rsidRPr="00482476" w:rsidRDefault="009349A1" w:rsidP="00873EC3">
            <w:pPr>
              <w:pStyle w:val="ListParagraph"/>
              <w:numPr>
                <w:ilvl w:val="0"/>
                <w:numId w:val="9"/>
              </w:numPr>
              <w:contextualSpacing w:val="0"/>
              <w:rPr>
                <w:rFonts w:cstheme="majorBidi"/>
                <w:color w:val="414142"/>
                <w:szCs w:val="22"/>
              </w:rPr>
            </w:pPr>
            <w:r w:rsidRPr="00482476">
              <w:rPr>
                <w:rFonts w:cstheme="majorBidi"/>
                <w:color w:val="414142"/>
                <w:szCs w:val="22"/>
              </w:rPr>
              <w:t>Private Sector Development</w:t>
            </w:r>
          </w:p>
          <w:p w:rsidR="009349A1" w:rsidRPr="00482476" w:rsidRDefault="009349A1" w:rsidP="00873EC3">
            <w:pPr>
              <w:pStyle w:val="ListParagraph"/>
              <w:numPr>
                <w:ilvl w:val="0"/>
                <w:numId w:val="9"/>
              </w:numPr>
              <w:contextualSpacing w:val="0"/>
              <w:rPr>
                <w:rFonts w:cstheme="majorBidi"/>
                <w:color w:val="414142"/>
                <w:szCs w:val="22"/>
              </w:rPr>
            </w:pPr>
            <w:r w:rsidRPr="00482476">
              <w:rPr>
                <w:rFonts w:cstheme="majorBidi"/>
                <w:color w:val="414142"/>
                <w:szCs w:val="22"/>
              </w:rPr>
              <w:t>National Minerals and Resource DP</w:t>
            </w:r>
          </w:p>
          <w:p w:rsidR="009349A1" w:rsidRPr="00482476" w:rsidRDefault="009349A1" w:rsidP="00873EC3">
            <w:pPr>
              <w:pStyle w:val="ListParagraph"/>
              <w:numPr>
                <w:ilvl w:val="0"/>
                <w:numId w:val="9"/>
              </w:numPr>
              <w:contextualSpacing w:val="0"/>
              <w:rPr>
                <w:rFonts w:cstheme="majorBidi"/>
                <w:color w:val="414142"/>
                <w:szCs w:val="22"/>
              </w:rPr>
            </w:pPr>
            <w:r w:rsidRPr="00482476">
              <w:rPr>
                <w:rFonts w:cstheme="majorBidi"/>
                <w:color w:val="414142"/>
                <w:szCs w:val="22"/>
              </w:rPr>
              <w:t>Effective Governance</w:t>
            </w:r>
          </w:p>
          <w:p w:rsidR="009349A1" w:rsidRPr="00482476" w:rsidRDefault="009349A1" w:rsidP="00873EC3">
            <w:pPr>
              <w:pStyle w:val="ListParagraph"/>
              <w:numPr>
                <w:ilvl w:val="0"/>
                <w:numId w:val="9"/>
              </w:numPr>
              <w:contextualSpacing w:val="0"/>
              <w:rPr>
                <w:rFonts w:cstheme="majorBidi"/>
                <w:color w:val="414142"/>
                <w:szCs w:val="22"/>
              </w:rPr>
            </w:pPr>
            <w:r w:rsidRPr="00482476">
              <w:rPr>
                <w:rFonts w:cstheme="majorBidi"/>
                <w:color w:val="414142"/>
                <w:szCs w:val="22"/>
              </w:rPr>
              <w:t>Human Capital</w:t>
            </w:r>
          </w:p>
          <w:p w:rsidR="009349A1" w:rsidRPr="00482476" w:rsidRDefault="009349A1" w:rsidP="008E01DF">
            <w:pPr>
              <w:rPr>
                <w:rFonts w:cstheme="majorBidi"/>
                <w:szCs w:val="22"/>
              </w:rPr>
            </w:pPr>
          </w:p>
        </w:tc>
      </w:tr>
    </w:tbl>
    <w:p w:rsidR="009349A1" w:rsidRPr="00AD5B9F" w:rsidRDefault="009349A1" w:rsidP="009349A1">
      <w:pPr>
        <w:rPr>
          <w:rFonts w:asciiTheme="majorBidi" w:hAnsiTheme="majorBidi" w:cstheme="majorBidi"/>
          <w:szCs w:val="22"/>
        </w:rPr>
      </w:pPr>
    </w:p>
    <w:p w:rsidR="009349A1" w:rsidRPr="00482476" w:rsidRDefault="009349A1" w:rsidP="00482476">
      <w:pPr>
        <w:spacing w:line="276" w:lineRule="auto"/>
        <w:jc w:val="both"/>
        <w:rPr>
          <w:szCs w:val="22"/>
          <w:lang w:bidi="ps-AF"/>
        </w:rPr>
      </w:pPr>
      <w:r w:rsidRPr="000C26DE">
        <w:rPr>
          <w:b/>
          <w:bCs/>
          <w:szCs w:val="22"/>
          <w:lang w:bidi="ps-AF"/>
        </w:rPr>
        <w:t>Public Investment Reforms:</w:t>
      </w:r>
      <w:r w:rsidRPr="00482476">
        <w:rPr>
          <w:szCs w:val="22"/>
          <w:lang w:bidi="ps-AF"/>
        </w:rPr>
        <w:t xml:space="preserve"> This year new priorities could only be screened for strategic fit to ANPDF objectives and ministry readiness based on quality of PCN submissions. In the coming years new submissions need to be analysed rigorously for financial and economic costs and benefits. Afghanistan’s fiscal resources are going to continue to remain constrained – so trade-offs between alternatives need to be clear before making multi-year commitments.</w:t>
      </w:r>
    </w:p>
    <w:p w:rsidR="0003227F" w:rsidRDefault="009349A1" w:rsidP="00482476">
      <w:pPr>
        <w:spacing w:line="276" w:lineRule="auto"/>
        <w:jc w:val="both"/>
        <w:rPr>
          <w:szCs w:val="22"/>
          <w:lang w:bidi="ps-AF"/>
        </w:rPr>
      </w:pPr>
      <w:r w:rsidRPr="000C26DE">
        <w:rPr>
          <w:b/>
          <w:bCs/>
          <w:szCs w:val="22"/>
          <w:lang w:bidi="ps-AF"/>
        </w:rPr>
        <w:t>Project cycle separation from budget cycle:</w:t>
      </w:r>
      <w:r w:rsidRPr="00482476">
        <w:rPr>
          <w:szCs w:val="22"/>
          <w:lang w:bidi="ps-AF"/>
        </w:rPr>
        <w:t xml:space="preserve"> This year project preparation process has been separated from the budget cycle. Line Ministry projects teams can work on designing new projects throughout the year with possible entry of new projects into the National budget either during mid-year review or the annual budget process.</w:t>
      </w:r>
    </w:p>
    <w:p w:rsidR="009349A1" w:rsidRPr="000C26DE" w:rsidRDefault="009349A1" w:rsidP="0003227F">
      <w:pPr>
        <w:spacing w:line="276" w:lineRule="auto"/>
        <w:jc w:val="both"/>
        <w:rPr>
          <w:szCs w:val="22"/>
          <w:lang w:bidi="ps-AF"/>
        </w:rPr>
      </w:pPr>
      <w:r w:rsidRPr="000C26DE">
        <w:rPr>
          <w:szCs w:val="22"/>
          <w:lang w:bidi="ps-AF"/>
        </w:rPr>
        <w:t xml:space="preserve">New </w:t>
      </w:r>
      <w:r w:rsidR="0003227F" w:rsidRPr="000C26DE">
        <w:rPr>
          <w:szCs w:val="22"/>
          <w:lang w:bidi="ps-AF"/>
        </w:rPr>
        <w:t>c</w:t>
      </w:r>
      <w:r w:rsidR="00B16908" w:rsidRPr="000C26DE">
        <w:rPr>
          <w:szCs w:val="22"/>
          <w:lang w:bidi="ps-AF"/>
        </w:rPr>
        <w:t>osting</w:t>
      </w:r>
      <w:r w:rsidRPr="000C26DE">
        <w:rPr>
          <w:szCs w:val="22"/>
          <w:lang w:bidi="ps-AF"/>
        </w:rPr>
        <w:t xml:space="preserve"> templates and methods were introduced to do realistic life cycle costing for capital projects.   In addition, the Project Concept Note has been strengthened to ensure project ideas are sufficiently developed before approval decision can be made. New policies must have a strong </w:t>
      </w:r>
      <w:r w:rsidRPr="000C26DE">
        <w:rPr>
          <w:szCs w:val="22"/>
          <w:lang w:bidi="ps-AF"/>
        </w:rPr>
        <w:lastRenderedPageBreak/>
        <w:t>rationale of problem solving, a clear and proven theory of change, and realistic multi</w:t>
      </w:r>
      <w:r w:rsidR="0003227F" w:rsidRPr="000C26DE">
        <w:rPr>
          <w:szCs w:val="22"/>
          <w:lang w:bidi="ps-AF"/>
        </w:rPr>
        <w:t>-</w:t>
      </w:r>
      <w:r w:rsidRPr="000C26DE">
        <w:rPr>
          <w:szCs w:val="22"/>
          <w:lang w:bidi="ps-AF"/>
        </w:rPr>
        <w:t>year costings.</w:t>
      </w:r>
    </w:p>
    <w:p w:rsidR="009349A1" w:rsidRPr="00AD5B9F" w:rsidRDefault="009349A1" w:rsidP="0003227F">
      <w:pPr>
        <w:pStyle w:val="Heading3"/>
      </w:pPr>
      <w:bookmarkStart w:id="171" w:name="_Toc535744323"/>
      <w:bookmarkStart w:id="172" w:name="_Toc535750252"/>
      <w:r w:rsidRPr="00AD5B9F">
        <w:t>Infrastructure Portfolio Review</w:t>
      </w:r>
      <w:bookmarkEnd w:id="171"/>
      <w:bookmarkEnd w:id="172"/>
    </w:p>
    <w:p w:rsidR="009349A1" w:rsidRPr="000C26DE" w:rsidRDefault="009349A1" w:rsidP="000C26DE">
      <w:pPr>
        <w:spacing w:line="276" w:lineRule="auto"/>
        <w:jc w:val="both"/>
        <w:rPr>
          <w:spacing w:val="-4"/>
          <w:szCs w:val="22"/>
          <w:lang w:bidi="ps-AF"/>
        </w:rPr>
      </w:pPr>
      <w:r w:rsidRPr="000C26DE">
        <w:rPr>
          <w:spacing w:val="-4"/>
          <w:szCs w:val="22"/>
          <w:lang w:bidi="ps-AF"/>
        </w:rPr>
        <w:t>As a part of the ongoing Government budget reform process for improved public investment management, an Infrastructure Portfolio Review (IPR) was conducted in 1397. The IPR showed that a large number of infrastructure projects have been significantly delayed for many years. These projects will be subject to a semi-annual review by the Budget Committee to assess costings, project planning, and revise budget estimates. This is a special measure that highlights the importance of making more progress on infrastructure to improve national development outcomes.</w:t>
      </w:r>
    </w:p>
    <w:p w:rsidR="009349A1" w:rsidRPr="0003227F" w:rsidRDefault="009349A1" w:rsidP="000C26DE">
      <w:pPr>
        <w:spacing w:line="276" w:lineRule="auto"/>
        <w:jc w:val="both"/>
        <w:rPr>
          <w:szCs w:val="22"/>
          <w:lang w:bidi="ps-AF"/>
        </w:rPr>
      </w:pPr>
      <w:r w:rsidRPr="0003227F">
        <w:rPr>
          <w:szCs w:val="22"/>
          <w:lang w:bidi="ps-AF"/>
        </w:rPr>
        <w:t xml:space="preserve">The Ministry of Finance conducted detailed portfolio reviews for the nine largest infrastructure ministries, as detailed in the National Infrastructure Plan (2016-2021) on implementation status, identifying critical constraints, with recommended project actions to improve delivery, alignment, and resulting development impact. This includes: Ministry of Public Works (MPW), Ministry of Energy and Water (MEW), Da Afghanistan Breshna Sherkat (DABS), Ministry of Urban Development and Housing (MUDH) Ministry of Agriculture, Irrigation and Livestock (MAIL), Afghanistan Civil Aviation Authority (ACAA), Ministry of Mines and Petroleum (MMP), Ministry of Information, Communications and Technology (MICT). </w:t>
      </w:r>
    </w:p>
    <w:p w:rsidR="009349A1" w:rsidRPr="000C26DE" w:rsidRDefault="009349A1" w:rsidP="009349A1">
      <w:pPr>
        <w:jc w:val="both"/>
        <w:rPr>
          <w:spacing w:val="-4"/>
          <w:szCs w:val="22"/>
          <w:lang w:bidi="ps-AF"/>
        </w:rPr>
      </w:pPr>
      <w:r w:rsidRPr="000C26DE">
        <w:rPr>
          <w:b/>
          <w:bCs/>
          <w:spacing w:val="-4"/>
          <w:szCs w:val="22"/>
          <w:lang w:bidi="ps-AF"/>
        </w:rPr>
        <w:t>Portfolio Expenditure:</w:t>
      </w:r>
      <w:r w:rsidRPr="000C26DE">
        <w:rPr>
          <w:spacing w:val="-4"/>
          <w:szCs w:val="22"/>
          <w:lang w:bidi="ps-AF"/>
        </w:rPr>
        <w:t xml:space="preserve"> The National Infrastructure Program expenditure in 2017 was $632 million, which was 20 percent higher than the 2015 expenditure of $527 million. Transport and energy sectors being the dominant sectors by budget allocation and expenditure, accounting for approximately 76% and 72% respectively. In 2018 the infrastructure development budget allocation is $644 million, which accounted for 42% of the total development budget, and it is the first year that the carry forward of unused allocations from the previous years was discontinued, and the budget allocation by project is the expected financial requirements for the year.</w:t>
      </w:r>
    </w:p>
    <w:p w:rsidR="00813F77" w:rsidRPr="0003227F" w:rsidRDefault="00813F77" w:rsidP="00813F77">
      <w:pPr>
        <w:jc w:val="both"/>
        <w:rPr>
          <w:szCs w:val="22"/>
          <w:lang w:bidi="ps-AF"/>
        </w:rPr>
      </w:pPr>
      <w:r w:rsidRPr="000C26DE">
        <w:rPr>
          <w:b/>
          <w:bCs/>
          <w:szCs w:val="22"/>
          <w:lang w:bidi="ps-AF"/>
        </w:rPr>
        <w:t>Portfolio Overview:</w:t>
      </w:r>
      <w:r w:rsidRPr="0003227F">
        <w:rPr>
          <w:szCs w:val="22"/>
          <w:lang w:bidi="ps-AF"/>
        </w:rPr>
        <w:t xml:space="preserve"> The infrastructure portfolio has a large percentage of projects which have had time extensions due to implementation delays, which has been a systemic problem for both discretionary and non-discretionary funded projects. Across the portfolio, bottlenecks have occurred at all implementation stages due to: project management capacity constraints in preparation and approval of bid documents; poor procurement processes; and poor oversight during the implementation phase.</w:t>
      </w:r>
    </w:p>
    <w:p w:rsidR="00813F77" w:rsidRPr="0003227F" w:rsidRDefault="00813F77" w:rsidP="00813F77">
      <w:pPr>
        <w:jc w:val="both"/>
        <w:rPr>
          <w:szCs w:val="22"/>
          <w:lang w:bidi="ps-AF"/>
        </w:rPr>
      </w:pPr>
      <w:r w:rsidRPr="0003227F">
        <w:rPr>
          <w:b/>
          <w:bCs/>
          <w:szCs w:val="22"/>
          <w:lang w:bidi="ps-AF"/>
        </w:rPr>
        <w:t>Review Process:</w:t>
      </w:r>
      <w:r w:rsidRPr="0003227F">
        <w:rPr>
          <w:szCs w:val="22"/>
          <w:lang w:bidi="ps-AF"/>
        </w:rPr>
        <w:t xml:space="preserve"> The IPR was undertaken as a two-part process, an initial desk study, followed by Ministry of Finance consultations with Line Ministries. The IPR involved a detailed assessment of the current status of </w:t>
      </w:r>
      <w:r w:rsidR="0003227F">
        <w:rPr>
          <w:szCs w:val="22"/>
          <w:lang w:bidi="ps-AF"/>
        </w:rPr>
        <w:t xml:space="preserve">projects and the formulation of </w:t>
      </w:r>
      <w:r w:rsidRPr="0003227F">
        <w:rPr>
          <w:szCs w:val="22"/>
          <w:lang w:bidi="ps-AF"/>
        </w:rPr>
        <w:t xml:space="preserve">a criteria to identify potential problems. </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68"/>
        <w:gridCol w:w="2823"/>
        <w:gridCol w:w="2743"/>
      </w:tblGrid>
      <w:tr w:rsidR="00813F77" w:rsidRPr="0003227F" w:rsidTr="0003227F">
        <w:trPr>
          <w:jc w:val="center"/>
        </w:trPr>
        <w:tc>
          <w:tcPr>
            <w:tcW w:w="2768" w:type="dxa"/>
            <w:tcBorders>
              <w:top w:val="single" w:sz="4" w:space="0" w:color="auto"/>
              <w:bottom w:val="nil"/>
              <w:right w:val="single" w:sz="4" w:space="0" w:color="auto"/>
            </w:tcBorders>
            <w:shd w:val="clear" w:color="auto" w:fill="E2EFD9" w:themeFill="accent6" w:themeFillTint="33"/>
          </w:tcPr>
          <w:p w:rsidR="00813F77" w:rsidRPr="0003227F" w:rsidRDefault="00813F77" w:rsidP="008E01DF">
            <w:pPr>
              <w:rPr>
                <w:rFonts w:cstheme="majorBidi"/>
                <w:sz w:val="20"/>
              </w:rPr>
            </w:pPr>
            <w:r w:rsidRPr="0003227F">
              <w:rPr>
                <w:rFonts w:cstheme="majorBidi"/>
                <w:sz w:val="20"/>
              </w:rPr>
              <w:t>Satisfactory Projects</w:t>
            </w:r>
            <w:r w:rsidRPr="0003227F">
              <w:rPr>
                <w:rFonts w:cstheme="majorBidi"/>
                <w:sz w:val="20"/>
              </w:rPr>
              <w:br/>
              <w:t xml:space="preserve">(Green) </w:t>
            </w:r>
          </w:p>
        </w:tc>
        <w:tc>
          <w:tcPr>
            <w:tcW w:w="2823" w:type="dxa"/>
            <w:tcBorders>
              <w:top w:val="single" w:sz="4" w:space="0" w:color="auto"/>
              <w:left w:val="single" w:sz="4" w:space="0" w:color="auto"/>
              <w:bottom w:val="nil"/>
              <w:right w:val="single" w:sz="4" w:space="0" w:color="auto"/>
            </w:tcBorders>
            <w:shd w:val="clear" w:color="auto" w:fill="FFF2CC" w:themeFill="accent4" w:themeFillTint="33"/>
          </w:tcPr>
          <w:p w:rsidR="00813F77" w:rsidRPr="0003227F" w:rsidRDefault="00813F77" w:rsidP="008E01DF">
            <w:pPr>
              <w:rPr>
                <w:rFonts w:cstheme="majorBidi"/>
                <w:sz w:val="20"/>
              </w:rPr>
            </w:pPr>
            <w:r w:rsidRPr="0003227F">
              <w:rPr>
                <w:rFonts w:cstheme="majorBidi"/>
                <w:sz w:val="20"/>
              </w:rPr>
              <w:t>At Risk Projects</w:t>
            </w:r>
            <w:r w:rsidRPr="0003227F">
              <w:rPr>
                <w:rFonts w:cstheme="majorBidi"/>
                <w:sz w:val="20"/>
              </w:rPr>
              <w:br/>
              <w:t>(Yellow)</w:t>
            </w:r>
          </w:p>
        </w:tc>
        <w:tc>
          <w:tcPr>
            <w:tcW w:w="2743" w:type="dxa"/>
            <w:tcBorders>
              <w:left w:val="single" w:sz="4" w:space="0" w:color="auto"/>
            </w:tcBorders>
            <w:shd w:val="clear" w:color="auto" w:fill="FFCCCC"/>
          </w:tcPr>
          <w:p w:rsidR="00813F77" w:rsidRPr="0003227F" w:rsidRDefault="00813F77" w:rsidP="008E01DF">
            <w:pPr>
              <w:rPr>
                <w:rFonts w:cstheme="majorBidi"/>
                <w:sz w:val="20"/>
              </w:rPr>
            </w:pPr>
            <w:r w:rsidRPr="0003227F">
              <w:rPr>
                <w:rFonts w:cstheme="majorBidi"/>
                <w:sz w:val="20"/>
              </w:rPr>
              <w:t>Potential Problem Projects (Red)</w:t>
            </w:r>
          </w:p>
        </w:tc>
      </w:tr>
      <w:tr w:rsidR="00813F77" w:rsidRPr="0003227F" w:rsidTr="0003227F">
        <w:trPr>
          <w:jc w:val="center"/>
        </w:trPr>
        <w:tc>
          <w:tcPr>
            <w:tcW w:w="2768" w:type="dxa"/>
            <w:tcBorders>
              <w:top w:val="nil"/>
              <w:bottom w:val="nil"/>
              <w:right w:val="single" w:sz="4" w:space="0" w:color="auto"/>
            </w:tcBorders>
          </w:tcPr>
          <w:p w:rsidR="00813F77" w:rsidRPr="0003227F" w:rsidRDefault="00813F77" w:rsidP="00873EC3">
            <w:pPr>
              <w:pStyle w:val="ListParagraph"/>
              <w:numPr>
                <w:ilvl w:val="0"/>
                <w:numId w:val="10"/>
              </w:numPr>
              <w:rPr>
                <w:rFonts w:cstheme="majorBidi"/>
                <w:color w:val="414142"/>
                <w:sz w:val="20"/>
              </w:rPr>
            </w:pPr>
            <w:r w:rsidRPr="0003227F">
              <w:rPr>
                <w:rFonts w:cstheme="majorBidi"/>
                <w:color w:val="414142"/>
                <w:sz w:val="20"/>
              </w:rPr>
              <w:t xml:space="preserve">Projects that are making satisfactory progress and disbursement. </w:t>
            </w:r>
          </w:p>
          <w:p w:rsidR="00813F77" w:rsidRPr="0003227F" w:rsidRDefault="00813F77" w:rsidP="008E01DF">
            <w:pPr>
              <w:rPr>
                <w:rFonts w:cstheme="majorBidi"/>
                <w:sz w:val="20"/>
              </w:rPr>
            </w:pPr>
          </w:p>
        </w:tc>
        <w:tc>
          <w:tcPr>
            <w:tcW w:w="2823" w:type="dxa"/>
            <w:tcBorders>
              <w:top w:val="nil"/>
              <w:left w:val="single" w:sz="4" w:space="0" w:color="auto"/>
              <w:bottom w:val="nil"/>
              <w:right w:val="single" w:sz="4" w:space="0" w:color="auto"/>
            </w:tcBorders>
          </w:tcPr>
          <w:p w:rsidR="00813F77" w:rsidRPr="0003227F" w:rsidRDefault="00813F77" w:rsidP="00873EC3">
            <w:pPr>
              <w:pStyle w:val="ListParagraph"/>
              <w:numPr>
                <w:ilvl w:val="0"/>
                <w:numId w:val="11"/>
              </w:numPr>
              <w:ind w:left="207" w:hanging="270"/>
              <w:rPr>
                <w:rFonts w:cstheme="majorBidi"/>
                <w:color w:val="414142"/>
                <w:sz w:val="20"/>
              </w:rPr>
            </w:pPr>
            <w:r w:rsidRPr="0003227F">
              <w:rPr>
                <w:rFonts w:cstheme="majorBidi"/>
                <w:color w:val="414142"/>
                <w:sz w:val="20"/>
              </w:rPr>
              <w:t>Projects of 2-4 years duration (on budget) with contract balances &gt;75%;</w:t>
            </w:r>
          </w:p>
          <w:p w:rsidR="00813F77" w:rsidRPr="0003227F" w:rsidRDefault="00813F77" w:rsidP="00873EC3">
            <w:pPr>
              <w:pStyle w:val="ListParagraph"/>
              <w:numPr>
                <w:ilvl w:val="0"/>
                <w:numId w:val="11"/>
              </w:numPr>
              <w:ind w:left="207" w:hanging="270"/>
              <w:rPr>
                <w:rFonts w:cstheme="majorBidi"/>
                <w:color w:val="414142"/>
                <w:sz w:val="20"/>
              </w:rPr>
            </w:pPr>
            <w:r w:rsidRPr="0003227F">
              <w:rPr>
                <w:rFonts w:cstheme="majorBidi"/>
                <w:color w:val="414142"/>
                <w:sz w:val="20"/>
              </w:rPr>
              <w:t>Projects of 2-4 years duration with no contract awards.</w:t>
            </w:r>
          </w:p>
          <w:p w:rsidR="00813F77" w:rsidRPr="0003227F" w:rsidRDefault="00813F77" w:rsidP="008E01DF">
            <w:pPr>
              <w:rPr>
                <w:rFonts w:cstheme="majorBidi"/>
                <w:sz w:val="20"/>
              </w:rPr>
            </w:pPr>
          </w:p>
        </w:tc>
        <w:tc>
          <w:tcPr>
            <w:tcW w:w="2743" w:type="dxa"/>
            <w:tcBorders>
              <w:left w:val="single" w:sz="4" w:space="0" w:color="auto"/>
            </w:tcBorders>
          </w:tcPr>
          <w:p w:rsidR="00813F77" w:rsidRPr="0003227F" w:rsidRDefault="00813F77" w:rsidP="00873EC3">
            <w:pPr>
              <w:pStyle w:val="ListParagraph"/>
              <w:numPr>
                <w:ilvl w:val="0"/>
                <w:numId w:val="11"/>
              </w:numPr>
              <w:ind w:left="207" w:hanging="270"/>
              <w:rPr>
                <w:rFonts w:cstheme="majorBidi"/>
                <w:color w:val="414142"/>
                <w:sz w:val="20"/>
              </w:rPr>
            </w:pPr>
            <w:r w:rsidRPr="0003227F">
              <w:rPr>
                <w:rFonts w:cstheme="majorBidi"/>
                <w:color w:val="414142"/>
                <w:sz w:val="20"/>
              </w:rPr>
              <w:t>Projects &gt; 6 years duration (on budget), and contract balances &gt; 25%</w:t>
            </w:r>
          </w:p>
          <w:p w:rsidR="00813F77" w:rsidRPr="0003227F" w:rsidRDefault="00813F77" w:rsidP="00873EC3">
            <w:pPr>
              <w:pStyle w:val="ListParagraph"/>
              <w:numPr>
                <w:ilvl w:val="0"/>
                <w:numId w:val="11"/>
              </w:numPr>
              <w:ind w:left="207" w:hanging="270"/>
              <w:rPr>
                <w:rFonts w:cstheme="majorBidi"/>
                <w:color w:val="414142"/>
                <w:sz w:val="20"/>
              </w:rPr>
            </w:pPr>
            <w:r w:rsidRPr="0003227F">
              <w:rPr>
                <w:rFonts w:cstheme="majorBidi"/>
                <w:color w:val="414142"/>
                <w:sz w:val="20"/>
              </w:rPr>
              <w:t>Projects of 5-6 year duration and contract balances &gt;50%</w:t>
            </w:r>
          </w:p>
          <w:p w:rsidR="00813F77" w:rsidRPr="0003227F" w:rsidRDefault="00813F77" w:rsidP="00873EC3">
            <w:pPr>
              <w:pStyle w:val="ListParagraph"/>
              <w:numPr>
                <w:ilvl w:val="0"/>
                <w:numId w:val="11"/>
              </w:numPr>
              <w:ind w:left="207" w:hanging="270"/>
              <w:rPr>
                <w:rFonts w:cstheme="majorBidi"/>
                <w:color w:val="414142"/>
                <w:sz w:val="20"/>
              </w:rPr>
            </w:pPr>
            <w:r w:rsidRPr="0003227F">
              <w:rPr>
                <w:rFonts w:cstheme="majorBidi"/>
                <w:color w:val="414142"/>
                <w:sz w:val="20"/>
              </w:rPr>
              <w:t>Projects of 4 year or more duration with no contract awards</w:t>
            </w:r>
          </w:p>
        </w:tc>
      </w:tr>
      <w:tr w:rsidR="00813F77" w:rsidRPr="0003227F" w:rsidTr="0003227F">
        <w:trPr>
          <w:jc w:val="center"/>
        </w:trPr>
        <w:tc>
          <w:tcPr>
            <w:tcW w:w="2768" w:type="dxa"/>
            <w:tcBorders>
              <w:top w:val="nil"/>
              <w:bottom w:val="single" w:sz="4" w:space="0" w:color="auto"/>
              <w:right w:val="single" w:sz="4" w:space="0" w:color="auto"/>
            </w:tcBorders>
          </w:tcPr>
          <w:p w:rsidR="00813F77" w:rsidRPr="0003227F" w:rsidRDefault="00813F77" w:rsidP="008E01DF">
            <w:pPr>
              <w:rPr>
                <w:rFonts w:cstheme="majorBidi"/>
                <w:color w:val="414142"/>
                <w:sz w:val="20"/>
              </w:rPr>
            </w:pPr>
            <w:r w:rsidRPr="0003227F">
              <w:rPr>
                <w:rFonts w:cstheme="majorBidi"/>
                <w:color w:val="414142"/>
                <w:sz w:val="20"/>
              </w:rPr>
              <w:t>128 Projects (46%)</w:t>
            </w:r>
          </w:p>
        </w:tc>
        <w:tc>
          <w:tcPr>
            <w:tcW w:w="2823" w:type="dxa"/>
            <w:tcBorders>
              <w:top w:val="nil"/>
              <w:left w:val="single" w:sz="4" w:space="0" w:color="auto"/>
              <w:bottom w:val="single" w:sz="4" w:space="0" w:color="auto"/>
              <w:right w:val="single" w:sz="4" w:space="0" w:color="auto"/>
            </w:tcBorders>
          </w:tcPr>
          <w:p w:rsidR="00813F77" w:rsidRPr="0003227F" w:rsidRDefault="00813F77" w:rsidP="008E01DF">
            <w:pPr>
              <w:rPr>
                <w:rFonts w:cstheme="majorBidi"/>
                <w:color w:val="414142"/>
                <w:sz w:val="20"/>
              </w:rPr>
            </w:pPr>
            <w:r w:rsidRPr="0003227F">
              <w:rPr>
                <w:rFonts w:cstheme="majorBidi"/>
                <w:color w:val="414142"/>
                <w:sz w:val="20"/>
              </w:rPr>
              <w:t>57 Projects (20%)</w:t>
            </w:r>
          </w:p>
        </w:tc>
        <w:tc>
          <w:tcPr>
            <w:tcW w:w="2743" w:type="dxa"/>
            <w:tcBorders>
              <w:left w:val="single" w:sz="4" w:space="0" w:color="auto"/>
            </w:tcBorders>
          </w:tcPr>
          <w:p w:rsidR="00813F77" w:rsidRPr="0003227F" w:rsidRDefault="00813F77" w:rsidP="008E01DF">
            <w:pPr>
              <w:rPr>
                <w:rFonts w:cstheme="majorBidi"/>
                <w:color w:val="414142"/>
                <w:sz w:val="20"/>
              </w:rPr>
            </w:pPr>
            <w:r w:rsidRPr="0003227F">
              <w:rPr>
                <w:rFonts w:cstheme="majorBidi"/>
                <w:color w:val="414142"/>
                <w:sz w:val="20"/>
              </w:rPr>
              <w:t>96 Projects (34%)</w:t>
            </w:r>
          </w:p>
        </w:tc>
      </w:tr>
    </w:tbl>
    <w:p w:rsidR="00813F77" w:rsidRPr="0003227F" w:rsidRDefault="00813F77" w:rsidP="00813F77">
      <w:pPr>
        <w:jc w:val="both"/>
        <w:rPr>
          <w:szCs w:val="22"/>
          <w:lang w:bidi="ps-AF"/>
        </w:rPr>
      </w:pPr>
      <w:r w:rsidRPr="0003227F">
        <w:rPr>
          <w:szCs w:val="22"/>
          <w:lang w:bidi="ps-AF"/>
        </w:rPr>
        <w:t xml:space="preserve">Note: In some cases project AFG codes were used for multiple projects or were continued for new projects when the old ones closed. </w:t>
      </w:r>
    </w:p>
    <w:p w:rsidR="00813F77" w:rsidRPr="00AD5B9F" w:rsidRDefault="00813F77" w:rsidP="00813F77">
      <w:pPr>
        <w:jc w:val="both"/>
        <w:rPr>
          <w:rFonts w:asciiTheme="majorBidi" w:hAnsiTheme="majorBidi" w:cstheme="majorBidi"/>
          <w:szCs w:val="22"/>
        </w:rPr>
      </w:pPr>
      <w:r w:rsidRPr="0003227F">
        <w:rPr>
          <w:szCs w:val="22"/>
          <w:lang w:bidi="ps-AF"/>
        </w:rPr>
        <w:t xml:space="preserve">On this basis the current portfolio of the 281 projects includes: 96 potential problem projects (34% of portfolio); 57 at risk projects (20%); and 128 projects classified as satisfactory (46%). </w:t>
      </w:r>
      <w:r w:rsidRPr="0003227F">
        <w:rPr>
          <w:szCs w:val="22"/>
          <w:lang w:bidi="ps-AF"/>
        </w:rPr>
        <w:lastRenderedPageBreak/>
        <w:t>The portfolio has a high-risk profile given approximately 54% of projects are potential problem or at-risk projects. The risk profile varies across ministries, for MPW it is 54% of the projects, DABS 73%, MEW 75%, AACA 52%, MAIL 39%, MUDH 44%, Kabul Municipality 29%, MICT 46%, and MMP 27%. The ministries accounting for over 72% of on-budget infrastructure disbursements in 2017 (MPW, DABS and MEW) are characterized with high percentages of potential problem and at-risk projects</w:t>
      </w:r>
      <w:r w:rsidRPr="000C26DE">
        <w:rPr>
          <w:szCs w:val="22"/>
          <w:lang w:bidi="ps-AF"/>
        </w:rPr>
        <w:t>.</w:t>
      </w:r>
    </w:p>
    <w:p w:rsidR="00813F77" w:rsidRPr="0003227F" w:rsidRDefault="00813F77" w:rsidP="00813F77">
      <w:pPr>
        <w:jc w:val="both"/>
        <w:rPr>
          <w:szCs w:val="22"/>
          <w:lang w:bidi="ps-AF"/>
        </w:rPr>
      </w:pPr>
      <w:r w:rsidRPr="000C26DE">
        <w:rPr>
          <w:b/>
          <w:bCs/>
          <w:szCs w:val="22"/>
          <w:lang w:bidi="ps-AF"/>
        </w:rPr>
        <w:t>Project Implementation Status:</w:t>
      </w:r>
      <w:r w:rsidRPr="0003227F">
        <w:rPr>
          <w:szCs w:val="22"/>
          <w:lang w:bidi="ps-AF"/>
        </w:rPr>
        <w:t xml:space="preserve"> Based on the consultation process with the ministries, the analysis of project implementation status indicated that currently of the 281 projects: 211 (75%) are projects in implementation stages; 27 (10%) are in physical and financial closing phase; 30 (11%) have no contract awards; and 13 (4%) are in preparatory stages under survey, design or feasibility study. Of the 75% (211 projects) in implementation stages: 137 (49% of the portfolio) are ongoing; 16 (6%) require an extension in closing date; 9 (3%) security is an issue and implementation is currently not feasible; 16 (5%) have unresolved problems, and 33 (12%) are under procurement. The projects in each of these categories are assessed in Section 4 with recommended actions. </w:t>
      </w:r>
    </w:p>
    <w:p w:rsidR="00813F77" w:rsidRPr="0003227F" w:rsidRDefault="00813F77" w:rsidP="00813F77">
      <w:pPr>
        <w:jc w:val="both"/>
        <w:rPr>
          <w:szCs w:val="22"/>
          <w:lang w:bidi="ps-AF"/>
        </w:rPr>
      </w:pPr>
      <w:r w:rsidRPr="000C26DE">
        <w:rPr>
          <w:b/>
          <w:bCs/>
          <w:szCs w:val="22"/>
          <w:lang w:bidi="ps-AF"/>
        </w:rPr>
        <w:t>Recommendations:</w:t>
      </w:r>
      <w:r w:rsidRPr="0003227F">
        <w:rPr>
          <w:szCs w:val="22"/>
          <w:lang w:bidi="ps-AF"/>
        </w:rPr>
        <w:t xml:space="preserve"> Findings of the review were highlighted in the Budget Committee hearings with line ministries to bring implementation of these projects back on track and to monitor closely. Specific resolution actions for each project has also been proposed to help line ministries resolve the implementation bottlenecks. </w:t>
      </w:r>
    </w:p>
    <w:p w:rsidR="00813F77" w:rsidRPr="0003227F" w:rsidRDefault="00813F77" w:rsidP="00813F77">
      <w:pPr>
        <w:jc w:val="both"/>
        <w:rPr>
          <w:szCs w:val="22"/>
          <w:lang w:bidi="ps-AF"/>
        </w:rPr>
      </w:pPr>
      <w:r w:rsidRPr="0003227F">
        <w:rPr>
          <w:szCs w:val="22"/>
          <w:lang w:bidi="ps-AF"/>
        </w:rPr>
        <w:t xml:space="preserve">Since fiscal space this year is limited, the 30 projects that have not awarded contracts yet need to be prioritized instead of starting new projects. Other recommendations include. </w:t>
      </w:r>
    </w:p>
    <w:p w:rsidR="00813F77" w:rsidRPr="0003227F" w:rsidRDefault="00813F77" w:rsidP="00873EC3">
      <w:pPr>
        <w:pStyle w:val="ListParagraph"/>
        <w:numPr>
          <w:ilvl w:val="0"/>
          <w:numId w:val="12"/>
        </w:numPr>
        <w:jc w:val="both"/>
        <w:rPr>
          <w:szCs w:val="22"/>
          <w:lang w:bidi="ps-AF"/>
        </w:rPr>
      </w:pPr>
      <w:r w:rsidRPr="0003227F">
        <w:rPr>
          <w:szCs w:val="22"/>
          <w:lang w:bidi="ps-AF"/>
        </w:rPr>
        <w:t xml:space="preserve">For existing projects identified with implementation issues, decisions are required on project extensions, procurement, security issues, unresolved problems, closure if required, de-scoping and reallocation of funds. </w:t>
      </w:r>
    </w:p>
    <w:p w:rsidR="00813F77" w:rsidRPr="00D95123" w:rsidRDefault="00813F77" w:rsidP="00873EC3">
      <w:pPr>
        <w:pStyle w:val="ListParagraph"/>
        <w:numPr>
          <w:ilvl w:val="0"/>
          <w:numId w:val="12"/>
        </w:numPr>
        <w:jc w:val="both"/>
        <w:rPr>
          <w:szCs w:val="22"/>
          <w:lang w:bidi="ps-AF"/>
        </w:rPr>
      </w:pPr>
      <w:r w:rsidRPr="00D95123">
        <w:rPr>
          <w:szCs w:val="22"/>
          <w:lang w:bidi="ps-AF"/>
        </w:rPr>
        <w:t>For projects currently under survey, design and feasibility or with no contract awards, these projects to be assessed for alignment and priority, with only those identified as priority projects to be submitted for project concept note assessment and further processing.</w:t>
      </w:r>
    </w:p>
    <w:p w:rsidR="00813F77" w:rsidRPr="00D95123" w:rsidRDefault="00813F77" w:rsidP="00D95123">
      <w:pPr>
        <w:pStyle w:val="ListParagraph"/>
        <w:numPr>
          <w:ilvl w:val="0"/>
          <w:numId w:val="12"/>
        </w:numPr>
        <w:jc w:val="both"/>
        <w:rPr>
          <w:szCs w:val="22"/>
          <w:lang w:bidi="ps-AF"/>
        </w:rPr>
      </w:pPr>
      <w:r w:rsidRPr="0003227F">
        <w:rPr>
          <w:szCs w:val="22"/>
          <w:lang w:bidi="ps-AF"/>
        </w:rPr>
        <w:t>Requests for extension in project closing date to be based on project performance criteria. Poorly performing projects, with delays and slippages in procurement and implementation to be reviewed, for priority, remedial action, and if necessary closure, prior to an approval of an extension. For non-discretionary (development partner (DP)) funded projects this will also require DP approval.</w:t>
      </w:r>
    </w:p>
    <w:p w:rsidR="00813F77" w:rsidRPr="00D95123" w:rsidRDefault="00813F77" w:rsidP="00D95123">
      <w:pPr>
        <w:pStyle w:val="ListParagraph"/>
        <w:numPr>
          <w:ilvl w:val="0"/>
          <w:numId w:val="12"/>
        </w:numPr>
        <w:jc w:val="both"/>
        <w:rPr>
          <w:szCs w:val="22"/>
          <w:lang w:bidi="ps-AF"/>
        </w:rPr>
      </w:pPr>
      <w:r w:rsidRPr="00D95123">
        <w:rPr>
          <w:szCs w:val="22"/>
          <w:lang w:bidi="ps-AF"/>
        </w:rPr>
        <w:t>Review projects that have a large operating cost component, and are being used to finance core ministry departmental staff and operational expenses. These staff costs to be identified and agreement reached on allocation of incremental funding to the ministry’s operating budget to cover such costs.</w:t>
      </w:r>
    </w:p>
    <w:p w:rsidR="00813F77" w:rsidRPr="00D95123" w:rsidRDefault="00813F77" w:rsidP="00873EC3">
      <w:pPr>
        <w:pStyle w:val="ListParagraph"/>
        <w:numPr>
          <w:ilvl w:val="0"/>
          <w:numId w:val="12"/>
        </w:numPr>
        <w:jc w:val="both"/>
        <w:rPr>
          <w:szCs w:val="22"/>
          <w:lang w:bidi="ps-AF"/>
        </w:rPr>
      </w:pPr>
      <w:r w:rsidRPr="00D95123">
        <w:rPr>
          <w:szCs w:val="22"/>
          <w:lang w:bidi="ps-AF"/>
        </w:rPr>
        <w:t xml:space="preserve">Prepare, for the existing discretionary projects, the project cost and project balance (in terms of existing committed balances (under contract) and uncommitted balances). </w:t>
      </w:r>
    </w:p>
    <w:p w:rsidR="00813F77" w:rsidRPr="00D95123" w:rsidRDefault="00D32829" w:rsidP="00D95123">
      <w:pPr>
        <w:pStyle w:val="ListParagraph"/>
        <w:numPr>
          <w:ilvl w:val="0"/>
          <w:numId w:val="12"/>
        </w:numPr>
        <w:jc w:val="both"/>
        <w:rPr>
          <w:szCs w:val="22"/>
          <w:lang w:bidi="ps-AF"/>
        </w:rPr>
      </w:pPr>
      <w:r w:rsidRPr="0003227F">
        <w:rPr>
          <w:noProof/>
          <w:szCs w:val="22"/>
        </w:rPr>
        <mc:AlternateContent>
          <mc:Choice Requires="wps">
            <w:drawing>
              <wp:anchor distT="45720" distB="45720" distL="114300" distR="114300" simplePos="0" relativeHeight="251687936" behindDoc="1" locked="0" layoutInCell="1" allowOverlap="1" wp14:anchorId="16089349" wp14:editId="62071EB3">
                <wp:simplePos x="0" y="0"/>
                <wp:positionH relativeFrom="margin">
                  <wp:posOffset>57150</wp:posOffset>
                </wp:positionH>
                <wp:positionV relativeFrom="margin">
                  <wp:posOffset>7258050</wp:posOffset>
                </wp:positionV>
                <wp:extent cx="5358765" cy="152209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8765" cy="1522095"/>
                        </a:xfrm>
                        <a:prstGeom prst="rect">
                          <a:avLst/>
                        </a:prstGeom>
                        <a:solidFill>
                          <a:schemeClr val="accent1">
                            <a:lumMod val="75000"/>
                          </a:schemeClr>
                        </a:solidFill>
                        <a:ln w="9525">
                          <a:noFill/>
                          <a:miter lim="800000"/>
                          <a:headEnd/>
                          <a:tailEnd/>
                        </a:ln>
                      </wps:spPr>
                      <wps:txbx>
                        <w:txbxContent>
                          <w:p w:rsidR="004F0155" w:rsidRPr="00A670FD" w:rsidRDefault="004F0155" w:rsidP="00B16908">
                            <w:pPr>
                              <w:jc w:val="center"/>
                              <w:rPr>
                                <w:rFonts w:cstheme="minorHAnsi"/>
                                <w:b/>
                                <w:color w:val="FFFFFF" w:themeColor="background1"/>
                                <w:spacing w:val="-2"/>
                                <w:sz w:val="16"/>
                                <w:szCs w:val="16"/>
                              </w:rPr>
                            </w:pPr>
                            <w:r w:rsidRPr="00A670FD">
                              <w:rPr>
                                <w:rFonts w:cstheme="minorHAnsi"/>
                                <w:b/>
                                <w:color w:val="FFFFFF" w:themeColor="background1"/>
                                <w:spacing w:val="-2"/>
                                <w:sz w:val="16"/>
                                <w:szCs w:val="16"/>
                              </w:rPr>
                              <w:t>BOX 1: Infrastructure Portfolio in Numbers</w:t>
                            </w:r>
                          </w:p>
                          <w:p w:rsidR="004F0155" w:rsidRPr="00A670FD" w:rsidRDefault="004F0155" w:rsidP="00B16908">
                            <w:pPr>
                              <w:jc w:val="both"/>
                              <w:rPr>
                                <w:rFonts w:cstheme="minorHAnsi"/>
                                <w:color w:val="FFFFFF" w:themeColor="background1"/>
                                <w:spacing w:val="-2"/>
                                <w:sz w:val="16"/>
                                <w:szCs w:val="16"/>
                              </w:rPr>
                            </w:pPr>
                            <w:r w:rsidRPr="00A670FD">
                              <w:rPr>
                                <w:rFonts w:cstheme="minorHAnsi"/>
                                <w:color w:val="FFFFFF" w:themeColor="background1"/>
                                <w:spacing w:val="-2"/>
                                <w:sz w:val="16"/>
                                <w:szCs w:val="16"/>
                              </w:rPr>
                              <w:t xml:space="preserve">Under these nine ministries there are 281 projects. MPW, MEW and MAIL dominate in number of projects (accounting for 28%, 29% and 14% respectively) followed by MUDH, DABS and AACA (11%, 9% and 7% respectively). Of the total number of projects, 199 are discretionary funded and 82 are non-discretionary funded. In recent years the number of discretionary funded projects has rapidly increased, financed with program budget support. In 1396, non-discretionary projects accounted for 72% of contract balances (129.70 billion AFs) and 63% of expenditure (27.40 billion AFs), and discretionary projects 28% of contract balances (49.26 billion AFs) and 37% of expenditure (16.0 billion AFs).  </w:t>
                            </w:r>
                          </w:p>
                        </w:txbxContent>
                      </wps:txbx>
                      <wps:bodyPr rot="0" vert="horz" wrap="square" lIns="182880" tIns="182880" rIns="182880" bIns="18288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6089349" id="_x0000_t202" coordsize="21600,21600" o:spt="202" path="m,l,21600r21600,l21600,xe">
                <v:stroke joinstyle="miter"/>
                <v:path gradientshapeok="t" o:connecttype="rect"/>
              </v:shapetype>
              <v:shape id="Text Box 2" o:spid="_x0000_s1026" type="#_x0000_t202" style="position:absolute;left:0;text-align:left;margin-left:4.5pt;margin-top:571.5pt;width:421.95pt;height:119.8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" fillcolor="#2e74b5 [2404]" stroked="f">
                <v:textbox inset="14.4pt,14.4pt,14.4pt,14.4pt">
                  <w:txbxContent>
                    <w:p w:rsidR="004F0155" w:rsidRPr="00A670FD" w:rsidRDefault="004F0155" w:rsidP="00B16908">
                      <w:pPr>
                        <w:jc w:val="center"/>
                        <w:rPr>
                          <w:rFonts w:cstheme="minorHAnsi"/>
                          <w:b/>
                          <w:color w:val="FFFFFF" w:themeColor="background1"/>
                          <w:spacing w:val="-2"/>
                          <w:sz w:val="16"/>
                          <w:szCs w:val="16"/>
                        </w:rPr>
                      </w:pPr>
                      <w:r w:rsidRPr="00A670FD">
                        <w:rPr>
                          <w:rFonts w:cstheme="minorHAnsi"/>
                          <w:b/>
                          <w:color w:val="FFFFFF" w:themeColor="background1"/>
                          <w:spacing w:val="-2"/>
                          <w:sz w:val="16"/>
                          <w:szCs w:val="16"/>
                        </w:rPr>
                        <w:t>BOX 1: Infrastructure Portfolio in Numbers</w:t>
                      </w:r>
                    </w:p>
                    <w:p w:rsidR="004F0155" w:rsidRPr="00A670FD" w:rsidRDefault="004F0155" w:rsidP="00B16908">
                      <w:pPr>
                        <w:jc w:val="both"/>
                        <w:rPr>
                          <w:rFonts w:cstheme="minorHAnsi"/>
                          <w:color w:val="FFFFFF" w:themeColor="background1"/>
                          <w:spacing w:val="-2"/>
                          <w:sz w:val="16"/>
                          <w:szCs w:val="16"/>
                        </w:rPr>
                      </w:pPr>
                      <w:r w:rsidRPr="00A670FD">
                        <w:rPr>
                          <w:rFonts w:cstheme="minorHAnsi"/>
                          <w:color w:val="FFFFFF" w:themeColor="background1"/>
                          <w:spacing w:val="-2"/>
                          <w:sz w:val="16"/>
                          <w:szCs w:val="16"/>
                        </w:rPr>
                        <w:t xml:space="preserve">Under these nine ministries there are 281 projects. MPW, MEW and MAIL dominate in number of projects (accounting for 28%, 29% and 14% respectively) followed by MUDH, DABS and AACA (11%, 9% and 7% respectively). Of the total number of projects, 199 are discretionary funded and 82 are non-discretionary funded. In recent years the number of discretionary funded projects has rapidly increased, financed with program budget support. In 1396, non-discretionary projects accounted for 72% of contract balances (129.70 billion AFs) and 63% of expenditure (27.40 billion AFs), and discretionary projects 28% of contract balances (49.26 billion AFs) and 37% of expenditure (16.0 billion AFs).  </w:t>
                      </w:r>
                    </w:p>
                  </w:txbxContent>
                </v:textbox>
                <w10:wrap type="square" anchorx="margin" anchory="margin"/>
              </v:shape>
            </w:pict>
          </mc:Fallback>
        </mc:AlternateContent>
      </w:r>
      <w:r w:rsidR="00813F77" w:rsidRPr="00D95123">
        <w:rPr>
          <w:szCs w:val="22"/>
          <w:lang w:bidi="ps-AF"/>
        </w:rPr>
        <w:t>Prepare project forward funding commitments (future contingent liabilities) for all ministry discretionary funded projects to estimate ongoing commitments, and for MOF to estimate fiscal resources already committed, and those available for new project commitments.</w:t>
      </w:r>
    </w:p>
    <w:p w:rsidR="00813F77" w:rsidRPr="00D95123" w:rsidRDefault="00813F77" w:rsidP="00D95123">
      <w:pPr>
        <w:pStyle w:val="ListParagraph"/>
        <w:numPr>
          <w:ilvl w:val="0"/>
          <w:numId w:val="12"/>
        </w:numPr>
        <w:jc w:val="both"/>
        <w:rPr>
          <w:szCs w:val="22"/>
          <w:lang w:bidi="ps-AF"/>
        </w:rPr>
      </w:pPr>
      <w:r w:rsidRPr="00D95123">
        <w:rPr>
          <w:szCs w:val="22"/>
          <w:lang w:bidi="ps-AF"/>
        </w:rPr>
        <w:lastRenderedPageBreak/>
        <w:t>Develop and implement a results based PPMS for efficient project management and implementation, and effective assessment of overall project performance.</w:t>
      </w:r>
    </w:p>
    <w:p w:rsidR="00813F77" w:rsidRPr="00AE2C21" w:rsidRDefault="00AD5B9F" w:rsidP="00AE2C21">
      <w:pPr>
        <w:pStyle w:val="Heading1"/>
      </w:pPr>
      <w:bookmarkStart w:id="173" w:name="_Toc535744324"/>
      <w:bookmarkStart w:id="174" w:name="_Toc535750253"/>
      <w:r w:rsidRPr="00AE2C21">
        <w:t xml:space="preserve">Organization </w:t>
      </w:r>
      <w:r w:rsidR="00813F77" w:rsidRPr="00AE2C21">
        <w:t>staffing (Tashkeel)</w:t>
      </w:r>
      <w:bookmarkEnd w:id="173"/>
      <w:bookmarkEnd w:id="174"/>
    </w:p>
    <w:p w:rsidR="00813F77" w:rsidRPr="005A49D3" w:rsidRDefault="00813F77" w:rsidP="00A63524">
      <w:pPr>
        <w:pStyle w:val="Heading2"/>
        <w:rPr>
          <w:rFonts w:asciiTheme="minorHAnsi" w:hAnsiTheme="minorHAnsi" w:cstheme="minorHAnsi"/>
          <w:szCs w:val="22"/>
        </w:rPr>
      </w:pPr>
      <w:bookmarkStart w:id="175" w:name="_Toc535744325"/>
      <w:bookmarkStart w:id="176" w:name="_Toc535750254"/>
      <w:r w:rsidRPr="00A670FD">
        <w:rPr>
          <w:rStyle w:val="Heading2Char"/>
          <w:rFonts w:eastAsia="Calibri"/>
        </w:rPr>
        <w:t>Structural review and decentralization</w:t>
      </w:r>
      <w:r w:rsidRPr="005A49D3">
        <w:rPr>
          <w:rFonts w:asciiTheme="minorHAnsi" w:hAnsiTheme="minorHAnsi" w:cstheme="minorHAnsi"/>
          <w:szCs w:val="22"/>
        </w:rPr>
        <w:t>:</w:t>
      </w:r>
      <w:bookmarkEnd w:id="175"/>
      <w:bookmarkEnd w:id="176"/>
      <w:r w:rsidRPr="005A49D3">
        <w:rPr>
          <w:rFonts w:asciiTheme="minorHAnsi" w:hAnsiTheme="minorHAnsi" w:cstheme="minorHAnsi"/>
          <w:szCs w:val="22"/>
        </w:rPr>
        <w:t xml:space="preserve"> </w:t>
      </w:r>
    </w:p>
    <w:p w:rsidR="00813F77" w:rsidRPr="000C26DE" w:rsidRDefault="00813F77" w:rsidP="00813F77">
      <w:pPr>
        <w:jc w:val="both"/>
        <w:rPr>
          <w:szCs w:val="22"/>
          <w:lang w:bidi="ps-AF"/>
        </w:rPr>
      </w:pPr>
      <w:r w:rsidRPr="000C26DE">
        <w:rPr>
          <w:szCs w:val="22"/>
          <w:lang w:bidi="ps-AF"/>
        </w:rPr>
        <w:t xml:space="preserve">State population has increased significantly within past 14 years due to improved social and economic services. The need to revise the government’s structure of functions has not been addressed as it should have throughout the last decade. The government’s structural revision includes improved governance by reorganizing government’s central and provincial structure. </w:t>
      </w:r>
    </w:p>
    <w:p w:rsidR="00813F77" w:rsidRPr="000C26DE" w:rsidRDefault="00813F77" w:rsidP="00F868CF">
      <w:pPr>
        <w:jc w:val="both"/>
        <w:rPr>
          <w:szCs w:val="22"/>
          <w:lang w:bidi="ps-AF"/>
        </w:rPr>
      </w:pPr>
      <w:r w:rsidRPr="000C26DE">
        <w:rPr>
          <w:szCs w:val="22"/>
          <w:lang w:bidi="ps-AF"/>
        </w:rPr>
        <w:t xml:space="preserve">The government has observations to study likelihood of some of the government’s functions integration on the central level to ensure possibility of establishing organizational boundaries. This organizational boundary will later be used to expand and strengthen </w:t>
      </w:r>
      <w:r w:rsidR="00F868CF">
        <w:rPr>
          <w:szCs w:val="22"/>
          <w:lang w:bidi="ps-AF"/>
        </w:rPr>
        <w:t>T</w:t>
      </w:r>
      <w:r w:rsidRPr="000C26DE">
        <w:rPr>
          <w:szCs w:val="22"/>
          <w:lang w:bidi="ps-AF"/>
        </w:rPr>
        <w:t xml:space="preserve">ashkeel across provinces and districts. </w:t>
      </w:r>
    </w:p>
    <w:p w:rsidR="00813F77" w:rsidRPr="00D95123" w:rsidRDefault="00813F77" w:rsidP="000C26DE">
      <w:pPr>
        <w:jc w:val="both"/>
        <w:rPr>
          <w:szCs w:val="22"/>
          <w:lang w:bidi="ps-AF"/>
        </w:rPr>
      </w:pPr>
      <w:r w:rsidRPr="00D95123">
        <w:rPr>
          <w:szCs w:val="22"/>
          <w:lang w:bidi="ps-AF"/>
        </w:rPr>
        <w:t xml:space="preserve">The government understands that majority of people live in the remote areas while current administrative structure does not support flexibility of delivering balanced development and governance services. For the purposes of increased participation of citizens through better governance and development services, there is a need to integrate budgetary units with common functions and efficiency to be obtained in service delivery. Additionally, integration of parallel agencies in the capital proves to be effective with respect to the establishment of administrative structure boundary that could be used for enhancement of current and new structures. This may be reflected upon introduction of new provinces on the basis of standard population estimates and isolation of current major provinces to new provinces. The task is led by IDLG and Central Office of Information and Statistics to revise provincial structure based on standard population estimates. </w:t>
      </w:r>
    </w:p>
    <w:p w:rsidR="00813F77" w:rsidRPr="000C26DE" w:rsidRDefault="00813F77" w:rsidP="005A49D3">
      <w:pPr>
        <w:jc w:val="both"/>
        <w:rPr>
          <w:szCs w:val="22"/>
          <w:lang w:bidi="ps-AF"/>
        </w:rPr>
      </w:pPr>
      <w:r w:rsidRPr="000C26DE">
        <w:rPr>
          <w:szCs w:val="22"/>
          <w:lang w:bidi="ps-AF"/>
        </w:rPr>
        <w:t xml:space="preserve">This section provides information on the recruitment that includes staff within Tashkeel and staff framed under National Technical Assistance (NTA).  </w:t>
      </w:r>
    </w:p>
    <w:p w:rsidR="0055014A" w:rsidRPr="00A63524" w:rsidRDefault="0055014A" w:rsidP="00A63524">
      <w:pPr>
        <w:pStyle w:val="Heading2"/>
      </w:pPr>
      <w:bookmarkStart w:id="177" w:name="_Toc535744326"/>
      <w:bookmarkStart w:id="178" w:name="_Toc535750255"/>
      <w:r w:rsidRPr="00A63524">
        <w:t>Tashkeel:</w:t>
      </w:r>
      <w:bookmarkEnd w:id="177"/>
      <w:bookmarkEnd w:id="178"/>
    </w:p>
    <w:p w:rsidR="0055014A" w:rsidRPr="005A49D3" w:rsidRDefault="0055014A" w:rsidP="00F868CF">
      <w:pPr>
        <w:jc w:val="both"/>
        <w:rPr>
          <w:szCs w:val="22"/>
          <w:lang w:bidi="ps-AF"/>
        </w:rPr>
      </w:pPr>
      <w:r w:rsidRPr="005A49D3">
        <w:rPr>
          <w:szCs w:val="22"/>
          <w:lang w:bidi="ps-AF"/>
        </w:rPr>
        <w:t xml:space="preserve">The total tashkeel for the 1398 adds up to a total of </w:t>
      </w:r>
      <w:r w:rsidR="00E77970" w:rsidRPr="005A49D3">
        <w:rPr>
          <w:szCs w:val="22"/>
          <w:lang w:bidi="ps-AF"/>
        </w:rPr>
        <w:t>891,</w:t>
      </w:r>
      <w:r w:rsidR="00F868CF">
        <w:rPr>
          <w:szCs w:val="22"/>
          <w:lang w:bidi="ps-AF"/>
        </w:rPr>
        <w:t>544</w:t>
      </w:r>
      <w:r w:rsidRPr="005A49D3">
        <w:rPr>
          <w:szCs w:val="22"/>
          <w:lang w:bidi="ps-AF"/>
        </w:rPr>
        <w:t xml:space="preserve"> (military and civil service) that shows an increase of </w:t>
      </w:r>
      <w:r w:rsidR="00E77970" w:rsidRPr="005A49D3">
        <w:rPr>
          <w:szCs w:val="22"/>
          <w:lang w:bidi="ps-AF"/>
        </w:rPr>
        <w:t>11,</w:t>
      </w:r>
      <w:r w:rsidR="00F868CF">
        <w:rPr>
          <w:szCs w:val="22"/>
          <w:lang w:bidi="ps-AF"/>
        </w:rPr>
        <w:t>3</w:t>
      </w:r>
      <w:r w:rsidR="00E77970" w:rsidRPr="005A49D3">
        <w:rPr>
          <w:szCs w:val="22"/>
          <w:lang w:bidi="ps-AF"/>
        </w:rPr>
        <w:t>97</w:t>
      </w:r>
      <w:r w:rsidRPr="005A49D3">
        <w:rPr>
          <w:szCs w:val="22"/>
          <w:lang w:bidi="ps-AF"/>
        </w:rPr>
        <w:t xml:space="preserve"> (</w:t>
      </w:r>
      <w:r w:rsidR="00E77970" w:rsidRPr="005A49D3">
        <w:rPr>
          <w:szCs w:val="22"/>
          <w:lang w:bidi="ps-AF"/>
        </w:rPr>
        <w:t>1.3</w:t>
      </w:r>
      <w:r w:rsidRPr="005A49D3">
        <w:rPr>
          <w:szCs w:val="22"/>
          <w:lang w:bidi="ps-AF"/>
        </w:rPr>
        <w:t xml:space="preserve">%) compared to last year’s Tashkeel (start of the year). The military staff accounts for the majority of the increase with the total military personnel increase from </w:t>
      </w:r>
      <w:r w:rsidR="00E77970" w:rsidRPr="005A49D3">
        <w:rPr>
          <w:szCs w:val="22"/>
          <w:lang w:bidi="ps-AF"/>
        </w:rPr>
        <w:t>462,002</w:t>
      </w:r>
      <w:r w:rsidR="00E0532A">
        <w:rPr>
          <w:szCs w:val="22"/>
          <w:lang w:bidi="ps-AF"/>
        </w:rPr>
        <w:t xml:space="preserve"> in 1397 to </w:t>
      </w:r>
      <w:r w:rsidR="00E77970" w:rsidRPr="005A49D3">
        <w:rPr>
          <w:szCs w:val="22"/>
          <w:lang w:bidi="ps-AF"/>
        </w:rPr>
        <w:t>470,800</w:t>
      </w:r>
      <w:r w:rsidRPr="005A49D3">
        <w:rPr>
          <w:szCs w:val="22"/>
          <w:lang w:bidi="ps-AF"/>
        </w:rPr>
        <w:t xml:space="preserve"> in 139</w:t>
      </w:r>
      <w:r w:rsidR="00E77970" w:rsidRPr="005A49D3">
        <w:rPr>
          <w:szCs w:val="22"/>
          <w:lang w:bidi="ps-AF"/>
        </w:rPr>
        <w:t>8</w:t>
      </w:r>
      <w:r w:rsidRPr="005A49D3">
        <w:rPr>
          <w:szCs w:val="22"/>
          <w:lang w:bidi="ps-AF"/>
        </w:rPr>
        <w:t xml:space="preserve">. This fact is justifiable because of the deteriorating security situation of the country.  </w:t>
      </w:r>
    </w:p>
    <w:p w:rsidR="0055014A" w:rsidRDefault="0055014A" w:rsidP="00F868CF">
      <w:pPr>
        <w:jc w:val="both"/>
        <w:rPr>
          <w:szCs w:val="22"/>
          <w:lang w:bidi="ps-AF"/>
        </w:rPr>
      </w:pPr>
      <w:r w:rsidRPr="005A49D3">
        <w:rPr>
          <w:szCs w:val="22"/>
          <w:lang w:bidi="ps-AF"/>
        </w:rPr>
        <w:t xml:space="preserve">Previously, the </w:t>
      </w:r>
      <w:r w:rsidR="00F868CF">
        <w:rPr>
          <w:szCs w:val="22"/>
          <w:lang w:bidi="ps-AF"/>
        </w:rPr>
        <w:t>T</w:t>
      </w:r>
      <w:r w:rsidRPr="005A49D3">
        <w:rPr>
          <w:szCs w:val="22"/>
          <w:lang w:bidi="ps-AF"/>
        </w:rPr>
        <w:t xml:space="preserve">ashkeel numbers increased by </w:t>
      </w:r>
      <w:r w:rsidR="00EA5551" w:rsidRPr="005A49D3">
        <w:rPr>
          <w:szCs w:val="22"/>
          <w:lang w:bidi="ps-AF"/>
        </w:rPr>
        <w:t>22,197</w:t>
      </w:r>
      <w:r w:rsidRPr="005A49D3">
        <w:rPr>
          <w:szCs w:val="22"/>
          <w:lang w:bidi="ps-AF"/>
        </w:rPr>
        <w:t xml:space="preserve"> in 1397 and by </w:t>
      </w:r>
      <w:r w:rsidR="00EA5551" w:rsidRPr="005A49D3">
        <w:rPr>
          <w:szCs w:val="22"/>
          <w:lang w:bidi="ps-AF"/>
        </w:rPr>
        <w:t>8,190</w:t>
      </w:r>
      <w:r w:rsidRPr="005A49D3">
        <w:rPr>
          <w:szCs w:val="22"/>
          <w:lang w:bidi="ps-AF"/>
        </w:rPr>
        <w:t xml:space="preserve"> in 1396 compared to start of the year </w:t>
      </w:r>
      <w:r w:rsidR="00F868CF">
        <w:rPr>
          <w:szCs w:val="22"/>
          <w:lang w:bidi="ps-AF"/>
        </w:rPr>
        <w:t>T</w:t>
      </w:r>
      <w:r w:rsidRPr="005A49D3">
        <w:rPr>
          <w:szCs w:val="22"/>
          <w:lang w:bidi="ps-AF"/>
        </w:rPr>
        <w:t xml:space="preserve">ashkeel in 1396 and 1395 respectively.  </w:t>
      </w:r>
    </w:p>
    <w:p w:rsidR="00A9289E" w:rsidRDefault="00A9289E" w:rsidP="005A49D3">
      <w:pPr>
        <w:jc w:val="both"/>
        <w:rPr>
          <w:szCs w:val="22"/>
        </w:rPr>
      </w:pPr>
    </w:p>
    <w:p w:rsidR="001225F0" w:rsidRDefault="001225F0" w:rsidP="005A49D3">
      <w:pPr>
        <w:jc w:val="both"/>
        <w:rPr>
          <w:szCs w:val="22"/>
        </w:rPr>
      </w:pPr>
    </w:p>
    <w:p w:rsidR="001225F0" w:rsidRDefault="001225F0" w:rsidP="005A49D3">
      <w:pPr>
        <w:jc w:val="both"/>
        <w:rPr>
          <w:szCs w:val="22"/>
        </w:rPr>
      </w:pPr>
    </w:p>
    <w:p w:rsidR="001225F0" w:rsidRDefault="001225F0" w:rsidP="005A49D3">
      <w:pPr>
        <w:jc w:val="both"/>
        <w:rPr>
          <w:szCs w:val="22"/>
        </w:rPr>
      </w:pPr>
    </w:p>
    <w:p w:rsidR="001225F0" w:rsidRDefault="001225F0" w:rsidP="005A49D3">
      <w:pPr>
        <w:jc w:val="both"/>
        <w:rPr>
          <w:szCs w:val="22"/>
        </w:rPr>
      </w:pPr>
    </w:p>
    <w:p w:rsidR="001225F0" w:rsidRDefault="001225F0" w:rsidP="005A49D3">
      <w:pPr>
        <w:jc w:val="both"/>
        <w:rPr>
          <w:szCs w:val="22"/>
        </w:rPr>
      </w:pPr>
    </w:p>
    <w:p w:rsidR="001225F0" w:rsidRDefault="001225F0" w:rsidP="005A49D3">
      <w:pPr>
        <w:jc w:val="both"/>
        <w:rPr>
          <w:szCs w:val="22"/>
        </w:rPr>
      </w:pPr>
    </w:p>
    <w:p w:rsidR="001225F0" w:rsidRDefault="001225F0" w:rsidP="005A49D3">
      <w:pPr>
        <w:jc w:val="both"/>
        <w:rPr>
          <w:szCs w:val="22"/>
        </w:rPr>
      </w:pPr>
    </w:p>
    <w:p w:rsidR="001225F0" w:rsidRDefault="001225F0" w:rsidP="005A49D3">
      <w:pPr>
        <w:jc w:val="both"/>
        <w:rPr>
          <w:szCs w:val="22"/>
        </w:rPr>
      </w:pPr>
    </w:p>
    <w:p w:rsidR="001225F0" w:rsidRDefault="001225F0" w:rsidP="005A49D3">
      <w:pPr>
        <w:jc w:val="both"/>
        <w:rPr>
          <w:szCs w:val="22"/>
        </w:rPr>
      </w:pPr>
    </w:p>
    <w:p w:rsidR="001225F0" w:rsidRDefault="001225F0" w:rsidP="005A49D3">
      <w:pPr>
        <w:jc w:val="both"/>
        <w:rPr>
          <w:szCs w:val="22"/>
        </w:rPr>
      </w:pPr>
    </w:p>
    <w:p w:rsidR="001225F0" w:rsidRPr="001225F0" w:rsidRDefault="001225F0" w:rsidP="001225F0">
      <w:pPr>
        <w:pStyle w:val="Caption"/>
        <w:bidi w:val="0"/>
        <w:rPr>
          <w:rFonts w:ascii="Garamond" w:hAnsi="Garamond"/>
          <w:sz w:val="22"/>
          <w:szCs w:val="22"/>
        </w:rPr>
      </w:pPr>
      <w:bookmarkStart w:id="179" w:name="_Toc535750372"/>
      <w:r w:rsidRPr="001225F0">
        <w:rPr>
          <w:rFonts w:ascii="Garamond" w:hAnsi="Garamond"/>
          <w:sz w:val="22"/>
          <w:szCs w:val="22"/>
        </w:rPr>
        <w:lastRenderedPageBreak/>
        <w:t xml:space="preserve">Figure </w:t>
      </w:r>
      <w:r w:rsidRPr="001225F0">
        <w:rPr>
          <w:rFonts w:ascii="Garamond" w:hAnsi="Garamond"/>
          <w:sz w:val="22"/>
          <w:szCs w:val="22"/>
        </w:rPr>
        <w:fldChar w:fldCharType="begin"/>
      </w:r>
      <w:r w:rsidRPr="001225F0">
        <w:rPr>
          <w:rFonts w:ascii="Garamond" w:hAnsi="Garamond"/>
          <w:sz w:val="22"/>
          <w:szCs w:val="22"/>
        </w:rPr>
        <w:instrText xml:space="preserve"> SEQ Figure \* ARABIC </w:instrText>
      </w:r>
      <w:r w:rsidRPr="001225F0">
        <w:rPr>
          <w:rFonts w:ascii="Garamond" w:hAnsi="Garamond"/>
          <w:sz w:val="22"/>
          <w:szCs w:val="22"/>
        </w:rPr>
        <w:fldChar w:fldCharType="separate"/>
      </w:r>
      <w:r w:rsidR="00862183">
        <w:rPr>
          <w:rFonts w:ascii="Garamond" w:hAnsi="Garamond"/>
          <w:noProof/>
          <w:sz w:val="22"/>
          <w:szCs w:val="22"/>
        </w:rPr>
        <w:t>7</w:t>
      </w:r>
      <w:r w:rsidRPr="001225F0">
        <w:rPr>
          <w:rFonts w:ascii="Garamond" w:hAnsi="Garamond"/>
          <w:sz w:val="22"/>
          <w:szCs w:val="22"/>
        </w:rPr>
        <w:fldChar w:fldCharType="end"/>
      </w:r>
      <w:r w:rsidRPr="001225F0">
        <w:rPr>
          <w:rFonts w:ascii="Garamond" w:hAnsi="Garamond"/>
          <w:sz w:val="22"/>
          <w:szCs w:val="22"/>
        </w:rPr>
        <w:t>(Military and Civil service)</w:t>
      </w:r>
      <w:bookmarkEnd w:id="179"/>
    </w:p>
    <w:p w:rsidR="0055014A" w:rsidRPr="005A49D3" w:rsidRDefault="00AF33F9" w:rsidP="00E605D8">
      <w:pPr>
        <w:jc w:val="center"/>
        <w:rPr>
          <w:szCs w:val="22"/>
        </w:rPr>
      </w:pPr>
      <w:r w:rsidRPr="005A49D3">
        <w:rPr>
          <w:noProof/>
          <w:szCs w:val="22"/>
        </w:rPr>
        <w:drawing>
          <wp:inline distT="0" distB="0" distL="0" distR="0" wp14:anchorId="4631A84C" wp14:editId="7A123B54">
            <wp:extent cx="5229225" cy="296227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5014A" w:rsidRPr="00F868CF" w:rsidRDefault="0055014A" w:rsidP="00F868CF">
      <w:pPr>
        <w:spacing w:line="276" w:lineRule="auto"/>
        <w:jc w:val="both"/>
        <w:rPr>
          <w:spacing w:val="-4"/>
          <w:szCs w:val="22"/>
          <w:lang w:bidi="ps-AF"/>
        </w:rPr>
      </w:pPr>
      <w:r w:rsidRPr="00F868CF">
        <w:rPr>
          <w:spacing w:val="-4"/>
          <w:szCs w:val="22"/>
          <w:lang w:bidi="ps-AF"/>
        </w:rPr>
        <w:t xml:space="preserve">The total expenditures on Wages and salaries for 1397 has increased by AFS 43.9 bn (USD 643 million). Historically, the average increase in this economic code has been close to 10% with the largest increase in the FY 1397 of 13% as compared to FY 1396. The total expenditure planned for 1397 amounts to AFS 196 bn which makes about 47% of the total National Budget. With the same rate going forward the total expenditures on wages and salaries will amount to AFS 261 bn by 1401 which questions the overall sustainability of the operating budget in the medium term. The Government plans to reduce operating budget through efficiency measures and freezing </w:t>
      </w:r>
      <w:r w:rsidR="00F868CF" w:rsidRPr="00F868CF">
        <w:rPr>
          <w:spacing w:val="-4"/>
          <w:szCs w:val="22"/>
          <w:lang w:bidi="ps-AF"/>
        </w:rPr>
        <w:t>T</w:t>
      </w:r>
      <w:r w:rsidRPr="00F868CF">
        <w:rPr>
          <w:spacing w:val="-4"/>
          <w:szCs w:val="22"/>
          <w:lang w:bidi="ps-AF"/>
        </w:rPr>
        <w:t xml:space="preserve">ashkeel to control recurrent expenditures and creating more fiscal space for the development budget. </w:t>
      </w:r>
    </w:p>
    <w:p w:rsidR="001225F0" w:rsidRPr="001225F0" w:rsidRDefault="001225F0" w:rsidP="001225F0">
      <w:pPr>
        <w:pStyle w:val="Caption"/>
        <w:bidi w:val="0"/>
        <w:rPr>
          <w:rFonts w:ascii="Garamond" w:hAnsi="Garamond"/>
          <w:sz w:val="22"/>
          <w:szCs w:val="22"/>
        </w:rPr>
      </w:pPr>
      <w:bookmarkStart w:id="180" w:name="_Toc535750273"/>
      <w:r w:rsidRPr="001225F0">
        <w:rPr>
          <w:rFonts w:ascii="Garamond" w:hAnsi="Garamond"/>
          <w:sz w:val="22"/>
          <w:szCs w:val="22"/>
        </w:rPr>
        <w:t xml:space="preserve">Table </w:t>
      </w:r>
      <w:r w:rsidRPr="001225F0">
        <w:rPr>
          <w:rFonts w:ascii="Garamond" w:hAnsi="Garamond"/>
          <w:sz w:val="22"/>
          <w:szCs w:val="22"/>
        </w:rPr>
        <w:fldChar w:fldCharType="begin"/>
      </w:r>
      <w:r w:rsidRPr="001225F0">
        <w:rPr>
          <w:rFonts w:ascii="Garamond" w:hAnsi="Garamond"/>
          <w:sz w:val="22"/>
          <w:szCs w:val="22"/>
        </w:rPr>
        <w:instrText xml:space="preserve"> SEQ Table \* ARABIC </w:instrText>
      </w:r>
      <w:r w:rsidRPr="001225F0">
        <w:rPr>
          <w:rFonts w:ascii="Garamond" w:hAnsi="Garamond"/>
          <w:sz w:val="22"/>
          <w:szCs w:val="22"/>
        </w:rPr>
        <w:fldChar w:fldCharType="separate"/>
      </w:r>
      <w:r w:rsidR="00862183">
        <w:rPr>
          <w:rFonts w:ascii="Garamond" w:hAnsi="Garamond"/>
          <w:noProof/>
          <w:sz w:val="22"/>
          <w:szCs w:val="22"/>
        </w:rPr>
        <w:t>12</w:t>
      </w:r>
      <w:r w:rsidRPr="001225F0">
        <w:rPr>
          <w:rFonts w:ascii="Garamond" w:hAnsi="Garamond"/>
          <w:sz w:val="22"/>
          <w:szCs w:val="22"/>
        </w:rPr>
        <w:fldChar w:fldCharType="end"/>
      </w:r>
      <w:r>
        <w:rPr>
          <w:rFonts w:ascii="Garamond" w:hAnsi="Garamond"/>
          <w:sz w:val="22"/>
          <w:szCs w:val="22"/>
        </w:rPr>
        <w:t xml:space="preserve"> </w:t>
      </w:r>
      <w:r w:rsidRPr="001225F0">
        <w:rPr>
          <w:rFonts w:ascii="Garamond" w:hAnsi="Garamond"/>
          <w:sz w:val="22"/>
          <w:szCs w:val="22"/>
        </w:rPr>
        <w:t>(The top 10 Ministries with largest Tashkeel Numbers)</w:t>
      </w:r>
      <w:bookmarkEnd w:id="180"/>
    </w:p>
    <w:tbl>
      <w:tblPr>
        <w:tblpPr w:leftFromText="180" w:rightFromText="180" w:vertAnchor="text" w:horzAnchor="margin" w:tblpXSpec="center" w:tblpY="33"/>
        <w:tblW w:w="8122" w:type="dxa"/>
        <w:tblLook w:val="04A0" w:firstRow="1" w:lastRow="0" w:firstColumn="1" w:lastColumn="0" w:noHBand="0" w:noVBand="1"/>
      </w:tblPr>
      <w:tblGrid>
        <w:gridCol w:w="1139"/>
        <w:gridCol w:w="3295"/>
        <w:gridCol w:w="922"/>
        <w:gridCol w:w="922"/>
        <w:gridCol w:w="922"/>
        <w:gridCol w:w="922"/>
      </w:tblGrid>
      <w:tr w:rsidR="0016688E" w:rsidRPr="00D95123" w:rsidTr="00F868CF">
        <w:trPr>
          <w:trHeight w:val="202"/>
        </w:trPr>
        <w:tc>
          <w:tcPr>
            <w:tcW w:w="1139" w:type="dxa"/>
            <w:tcBorders>
              <w:top w:val="single" w:sz="8" w:space="0" w:color="auto"/>
              <w:left w:val="single" w:sz="8" w:space="0" w:color="auto"/>
              <w:bottom w:val="nil"/>
              <w:right w:val="nil"/>
            </w:tcBorders>
            <w:shd w:val="clear" w:color="auto" w:fill="B4C6E7" w:themeFill="accent5" w:themeFillTint="66"/>
            <w:noWrap/>
            <w:vAlign w:val="bottom"/>
            <w:hideMark/>
          </w:tcPr>
          <w:p w:rsidR="0016688E" w:rsidRPr="00D95123" w:rsidRDefault="0016688E" w:rsidP="008E01DF">
            <w:pPr>
              <w:jc w:val="center"/>
              <w:rPr>
                <w:rFonts w:eastAsia="Times New Roman" w:cs="Calibri"/>
                <w:b/>
                <w:bCs/>
                <w:color w:val="000000"/>
                <w:sz w:val="18"/>
                <w:szCs w:val="18"/>
              </w:rPr>
            </w:pPr>
            <w:r>
              <w:rPr>
                <w:rFonts w:eastAsia="Times New Roman" w:cs="Calibri"/>
                <w:b/>
                <w:bCs/>
                <w:color w:val="000000"/>
                <w:sz w:val="18"/>
                <w:szCs w:val="18"/>
              </w:rPr>
              <w:t>#</w:t>
            </w:r>
            <w:r w:rsidRPr="00D95123">
              <w:rPr>
                <w:rFonts w:eastAsia="Times New Roman" w:cs="Calibri"/>
                <w:b/>
                <w:bCs/>
                <w:color w:val="000000"/>
                <w:sz w:val="18"/>
                <w:szCs w:val="18"/>
              </w:rPr>
              <w:t> </w:t>
            </w:r>
          </w:p>
        </w:tc>
        <w:tc>
          <w:tcPr>
            <w:tcW w:w="3295" w:type="dxa"/>
            <w:tcBorders>
              <w:top w:val="single" w:sz="8" w:space="0" w:color="auto"/>
              <w:left w:val="nil"/>
              <w:bottom w:val="nil"/>
              <w:right w:val="nil"/>
            </w:tcBorders>
            <w:shd w:val="clear" w:color="auto" w:fill="B4C6E7" w:themeFill="accent5" w:themeFillTint="66"/>
            <w:noWrap/>
            <w:vAlign w:val="bottom"/>
            <w:hideMark/>
          </w:tcPr>
          <w:p w:rsidR="0016688E" w:rsidRPr="00D95123" w:rsidRDefault="0016688E" w:rsidP="008E01DF">
            <w:pPr>
              <w:jc w:val="center"/>
              <w:rPr>
                <w:rFonts w:eastAsia="Times New Roman" w:cs="Calibri"/>
                <w:b/>
                <w:bCs/>
                <w:color w:val="000000"/>
                <w:sz w:val="18"/>
                <w:szCs w:val="18"/>
              </w:rPr>
            </w:pPr>
            <w:r>
              <w:rPr>
                <w:rFonts w:eastAsia="Times New Roman" w:cs="Calibri"/>
                <w:b/>
                <w:bCs/>
                <w:color w:val="000000"/>
                <w:sz w:val="18"/>
                <w:szCs w:val="18"/>
              </w:rPr>
              <w:t>Budgetary Units</w:t>
            </w:r>
            <w:r w:rsidRPr="00D95123">
              <w:rPr>
                <w:rFonts w:eastAsia="Times New Roman" w:cs="Calibri"/>
                <w:b/>
                <w:bCs/>
                <w:color w:val="000000"/>
                <w:sz w:val="18"/>
                <w:szCs w:val="18"/>
              </w:rPr>
              <w:t> </w:t>
            </w:r>
          </w:p>
        </w:tc>
        <w:tc>
          <w:tcPr>
            <w:tcW w:w="922" w:type="dxa"/>
            <w:tcBorders>
              <w:top w:val="single" w:sz="8" w:space="0" w:color="auto"/>
              <w:left w:val="nil"/>
              <w:bottom w:val="nil"/>
              <w:right w:val="nil"/>
            </w:tcBorders>
            <w:shd w:val="clear" w:color="auto" w:fill="B4C6E7" w:themeFill="accent5" w:themeFillTint="66"/>
            <w:noWrap/>
            <w:vAlign w:val="bottom"/>
            <w:hideMark/>
          </w:tcPr>
          <w:p w:rsidR="0016688E" w:rsidRPr="00D95123" w:rsidRDefault="0016688E" w:rsidP="008E01DF">
            <w:pPr>
              <w:jc w:val="center"/>
              <w:rPr>
                <w:rFonts w:eastAsia="Times New Roman" w:cs="Calibri"/>
                <w:b/>
                <w:bCs/>
                <w:color w:val="000000"/>
                <w:sz w:val="18"/>
                <w:szCs w:val="18"/>
              </w:rPr>
            </w:pPr>
            <w:r w:rsidRPr="00D95123">
              <w:rPr>
                <w:rFonts w:eastAsia="Times New Roman" w:cs="Calibri"/>
                <w:b/>
                <w:bCs/>
                <w:color w:val="000000"/>
                <w:sz w:val="18"/>
                <w:szCs w:val="18"/>
              </w:rPr>
              <w:t>1395</w:t>
            </w:r>
          </w:p>
        </w:tc>
        <w:tc>
          <w:tcPr>
            <w:tcW w:w="922" w:type="dxa"/>
            <w:tcBorders>
              <w:top w:val="single" w:sz="8" w:space="0" w:color="auto"/>
              <w:left w:val="nil"/>
              <w:bottom w:val="nil"/>
              <w:right w:val="nil"/>
            </w:tcBorders>
            <w:shd w:val="clear" w:color="auto" w:fill="B4C6E7" w:themeFill="accent5" w:themeFillTint="66"/>
            <w:noWrap/>
            <w:vAlign w:val="bottom"/>
            <w:hideMark/>
          </w:tcPr>
          <w:p w:rsidR="0016688E" w:rsidRPr="00D95123" w:rsidRDefault="0016688E" w:rsidP="008E01DF">
            <w:pPr>
              <w:jc w:val="center"/>
              <w:rPr>
                <w:rFonts w:eastAsia="Times New Roman" w:cs="Calibri"/>
                <w:b/>
                <w:bCs/>
                <w:color w:val="000000"/>
                <w:sz w:val="18"/>
                <w:szCs w:val="18"/>
              </w:rPr>
            </w:pPr>
            <w:r w:rsidRPr="00D95123">
              <w:rPr>
                <w:rFonts w:eastAsia="Times New Roman" w:cs="Calibri"/>
                <w:b/>
                <w:bCs/>
                <w:color w:val="000000"/>
                <w:sz w:val="18"/>
                <w:szCs w:val="18"/>
              </w:rPr>
              <w:t>1396</w:t>
            </w:r>
          </w:p>
        </w:tc>
        <w:tc>
          <w:tcPr>
            <w:tcW w:w="922" w:type="dxa"/>
            <w:tcBorders>
              <w:top w:val="single" w:sz="8" w:space="0" w:color="auto"/>
              <w:left w:val="nil"/>
              <w:bottom w:val="nil"/>
              <w:right w:val="nil"/>
            </w:tcBorders>
            <w:shd w:val="clear" w:color="auto" w:fill="B4C6E7" w:themeFill="accent5" w:themeFillTint="66"/>
            <w:noWrap/>
            <w:vAlign w:val="bottom"/>
            <w:hideMark/>
          </w:tcPr>
          <w:p w:rsidR="0016688E" w:rsidRPr="00D95123" w:rsidRDefault="0016688E" w:rsidP="008E01DF">
            <w:pPr>
              <w:jc w:val="center"/>
              <w:rPr>
                <w:rFonts w:eastAsia="Times New Roman" w:cs="Calibri"/>
                <w:b/>
                <w:bCs/>
                <w:color w:val="000000"/>
                <w:sz w:val="18"/>
                <w:szCs w:val="18"/>
              </w:rPr>
            </w:pPr>
            <w:r w:rsidRPr="00D95123">
              <w:rPr>
                <w:rFonts w:eastAsia="Times New Roman" w:cs="Calibri"/>
                <w:b/>
                <w:bCs/>
                <w:color w:val="000000"/>
                <w:sz w:val="18"/>
                <w:szCs w:val="18"/>
              </w:rPr>
              <w:t>1397</w:t>
            </w:r>
          </w:p>
        </w:tc>
        <w:tc>
          <w:tcPr>
            <w:tcW w:w="922" w:type="dxa"/>
            <w:tcBorders>
              <w:top w:val="single" w:sz="8" w:space="0" w:color="auto"/>
              <w:left w:val="nil"/>
              <w:bottom w:val="nil"/>
              <w:right w:val="single" w:sz="8" w:space="0" w:color="auto"/>
            </w:tcBorders>
            <w:shd w:val="clear" w:color="auto" w:fill="B4C6E7" w:themeFill="accent5" w:themeFillTint="66"/>
            <w:noWrap/>
            <w:vAlign w:val="bottom"/>
            <w:hideMark/>
          </w:tcPr>
          <w:p w:rsidR="0016688E" w:rsidRPr="00D95123" w:rsidRDefault="0016688E" w:rsidP="008E01DF">
            <w:pPr>
              <w:jc w:val="center"/>
              <w:rPr>
                <w:rFonts w:eastAsia="Times New Roman" w:cs="Calibri"/>
                <w:b/>
                <w:bCs/>
                <w:color w:val="000000"/>
                <w:sz w:val="18"/>
                <w:szCs w:val="18"/>
              </w:rPr>
            </w:pPr>
            <w:r w:rsidRPr="00D95123">
              <w:rPr>
                <w:rFonts w:eastAsia="Times New Roman" w:cs="Calibri"/>
                <w:b/>
                <w:bCs/>
                <w:color w:val="000000"/>
                <w:sz w:val="18"/>
                <w:szCs w:val="18"/>
              </w:rPr>
              <w:t>1398</w:t>
            </w:r>
          </w:p>
        </w:tc>
      </w:tr>
      <w:tr w:rsidR="0016688E" w:rsidRPr="00D95123" w:rsidTr="00F868CF">
        <w:trPr>
          <w:trHeight w:val="202"/>
        </w:trPr>
        <w:tc>
          <w:tcPr>
            <w:tcW w:w="1139" w:type="dxa"/>
            <w:tcBorders>
              <w:top w:val="nil"/>
              <w:left w:val="single" w:sz="8" w:space="0" w:color="auto"/>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1</w:t>
            </w:r>
          </w:p>
        </w:tc>
        <w:tc>
          <w:tcPr>
            <w:tcW w:w="3295" w:type="dxa"/>
            <w:tcBorders>
              <w:top w:val="nil"/>
              <w:left w:val="nil"/>
              <w:bottom w:val="nil"/>
              <w:right w:val="nil"/>
            </w:tcBorders>
            <w:shd w:val="clear" w:color="auto" w:fill="auto"/>
            <w:noWrap/>
            <w:vAlign w:val="bottom"/>
            <w:hideMark/>
          </w:tcPr>
          <w:p w:rsidR="0016688E" w:rsidRPr="00D95123" w:rsidRDefault="0016688E" w:rsidP="008E01DF">
            <w:pPr>
              <w:rPr>
                <w:rFonts w:eastAsia="Times New Roman" w:cs="Calibri"/>
                <w:color w:val="000000"/>
                <w:sz w:val="18"/>
                <w:szCs w:val="18"/>
              </w:rPr>
            </w:pPr>
            <w:r w:rsidRPr="00D95123">
              <w:rPr>
                <w:rFonts w:eastAsia="Times New Roman" w:cs="Calibri"/>
                <w:color w:val="000000"/>
                <w:sz w:val="18"/>
                <w:szCs w:val="18"/>
              </w:rPr>
              <w:t>Ministry of Education</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263,961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263,961 </w:t>
            </w:r>
          </w:p>
        </w:tc>
        <w:tc>
          <w:tcPr>
            <w:tcW w:w="922" w:type="dxa"/>
            <w:tcBorders>
              <w:top w:val="nil"/>
              <w:left w:val="nil"/>
              <w:bottom w:val="nil"/>
              <w:right w:val="nil"/>
            </w:tcBorders>
            <w:shd w:val="clear" w:color="auto" w:fill="auto"/>
            <w:noWrap/>
            <w:vAlign w:val="bottom"/>
            <w:hideMark/>
          </w:tcPr>
          <w:p w:rsidR="0016688E" w:rsidRPr="00D95123" w:rsidRDefault="0016688E" w:rsidP="00EA5551">
            <w:pPr>
              <w:jc w:val="center"/>
              <w:rPr>
                <w:rFonts w:eastAsia="Times New Roman" w:cs="Calibri"/>
                <w:color w:val="000000"/>
                <w:sz w:val="18"/>
                <w:szCs w:val="18"/>
              </w:rPr>
            </w:pPr>
            <w:r w:rsidRPr="00D95123">
              <w:rPr>
                <w:rFonts w:eastAsia="Times New Roman" w:cs="Calibri"/>
                <w:color w:val="000000"/>
                <w:sz w:val="18"/>
                <w:szCs w:val="18"/>
              </w:rPr>
              <w:t xml:space="preserve">             271,899</w:t>
            </w:r>
          </w:p>
        </w:tc>
        <w:tc>
          <w:tcPr>
            <w:tcW w:w="922" w:type="dxa"/>
            <w:tcBorders>
              <w:top w:val="nil"/>
              <w:left w:val="nil"/>
              <w:bottom w:val="nil"/>
              <w:right w:val="single" w:sz="8" w:space="0" w:color="auto"/>
            </w:tcBorders>
            <w:shd w:val="clear" w:color="auto" w:fill="auto"/>
            <w:noWrap/>
            <w:vAlign w:val="bottom"/>
            <w:hideMark/>
          </w:tcPr>
          <w:p w:rsidR="0016688E" w:rsidRPr="00D95123" w:rsidRDefault="0016688E" w:rsidP="00EA5551">
            <w:pPr>
              <w:jc w:val="center"/>
              <w:rPr>
                <w:rFonts w:eastAsia="Times New Roman" w:cs="Calibri"/>
                <w:color w:val="000000"/>
                <w:sz w:val="18"/>
                <w:szCs w:val="18"/>
              </w:rPr>
            </w:pPr>
            <w:r w:rsidRPr="00D95123">
              <w:rPr>
                <w:rFonts w:eastAsia="Times New Roman" w:cs="Calibri"/>
                <w:color w:val="000000"/>
                <w:sz w:val="18"/>
                <w:szCs w:val="18"/>
              </w:rPr>
              <w:t xml:space="preserve">             263,886 </w:t>
            </w:r>
          </w:p>
        </w:tc>
      </w:tr>
      <w:tr w:rsidR="0016688E" w:rsidRPr="00D95123" w:rsidTr="00F868CF">
        <w:trPr>
          <w:trHeight w:val="202"/>
        </w:trPr>
        <w:tc>
          <w:tcPr>
            <w:tcW w:w="1139" w:type="dxa"/>
            <w:tcBorders>
              <w:top w:val="nil"/>
              <w:left w:val="single" w:sz="8" w:space="0" w:color="auto"/>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2</w:t>
            </w:r>
          </w:p>
        </w:tc>
        <w:tc>
          <w:tcPr>
            <w:tcW w:w="3295" w:type="dxa"/>
            <w:tcBorders>
              <w:top w:val="nil"/>
              <w:left w:val="nil"/>
              <w:bottom w:val="nil"/>
              <w:right w:val="nil"/>
            </w:tcBorders>
            <w:shd w:val="clear" w:color="auto" w:fill="auto"/>
            <w:noWrap/>
            <w:vAlign w:val="bottom"/>
            <w:hideMark/>
          </w:tcPr>
          <w:p w:rsidR="0016688E" w:rsidRPr="00D95123" w:rsidRDefault="0016688E" w:rsidP="008E01DF">
            <w:pPr>
              <w:rPr>
                <w:rFonts w:eastAsia="Times New Roman" w:cs="Calibri"/>
                <w:color w:val="000000"/>
                <w:sz w:val="18"/>
                <w:szCs w:val="18"/>
              </w:rPr>
            </w:pPr>
            <w:r w:rsidRPr="00D95123">
              <w:rPr>
                <w:rFonts w:eastAsia="Times New Roman" w:cs="Calibri"/>
                <w:color w:val="000000"/>
                <w:sz w:val="18"/>
                <w:szCs w:val="18"/>
              </w:rPr>
              <w:t>Ministry of Defense</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202,886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204,449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208,113 </w:t>
            </w:r>
          </w:p>
        </w:tc>
        <w:tc>
          <w:tcPr>
            <w:tcW w:w="922" w:type="dxa"/>
            <w:tcBorders>
              <w:top w:val="nil"/>
              <w:left w:val="nil"/>
              <w:bottom w:val="nil"/>
              <w:right w:val="single" w:sz="8" w:space="0" w:color="auto"/>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240,484 </w:t>
            </w:r>
          </w:p>
        </w:tc>
      </w:tr>
      <w:tr w:rsidR="0016688E" w:rsidRPr="00D95123" w:rsidTr="00F868CF">
        <w:trPr>
          <w:trHeight w:val="202"/>
        </w:trPr>
        <w:tc>
          <w:tcPr>
            <w:tcW w:w="1139" w:type="dxa"/>
            <w:tcBorders>
              <w:top w:val="nil"/>
              <w:left w:val="single" w:sz="8" w:space="0" w:color="auto"/>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3</w:t>
            </w:r>
          </w:p>
        </w:tc>
        <w:tc>
          <w:tcPr>
            <w:tcW w:w="3295" w:type="dxa"/>
            <w:tcBorders>
              <w:top w:val="nil"/>
              <w:left w:val="nil"/>
              <w:bottom w:val="nil"/>
              <w:right w:val="nil"/>
            </w:tcBorders>
            <w:shd w:val="clear" w:color="auto" w:fill="auto"/>
            <w:noWrap/>
            <w:vAlign w:val="bottom"/>
            <w:hideMark/>
          </w:tcPr>
          <w:p w:rsidR="0016688E" w:rsidRPr="00D95123" w:rsidRDefault="0016688E" w:rsidP="008E01DF">
            <w:pPr>
              <w:rPr>
                <w:rFonts w:eastAsia="Times New Roman" w:cs="Calibri"/>
                <w:color w:val="000000"/>
                <w:sz w:val="18"/>
                <w:szCs w:val="18"/>
              </w:rPr>
            </w:pPr>
            <w:r w:rsidRPr="00D95123">
              <w:rPr>
                <w:rFonts w:eastAsia="Times New Roman" w:cs="Calibri"/>
                <w:color w:val="000000"/>
                <w:sz w:val="18"/>
                <w:szCs w:val="18"/>
              </w:rPr>
              <w:t>Ministry of Interior</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202,696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208,354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208,354 </w:t>
            </w:r>
          </w:p>
        </w:tc>
        <w:tc>
          <w:tcPr>
            <w:tcW w:w="922" w:type="dxa"/>
            <w:tcBorders>
              <w:top w:val="nil"/>
              <w:left w:val="nil"/>
              <w:bottom w:val="nil"/>
              <w:right w:val="single" w:sz="8" w:space="0" w:color="auto"/>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178,781 </w:t>
            </w:r>
          </w:p>
        </w:tc>
      </w:tr>
      <w:tr w:rsidR="0016688E" w:rsidRPr="00D95123" w:rsidTr="00F868CF">
        <w:trPr>
          <w:trHeight w:val="202"/>
        </w:trPr>
        <w:tc>
          <w:tcPr>
            <w:tcW w:w="1139" w:type="dxa"/>
            <w:tcBorders>
              <w:top w:val="nil"/>
              <w:left w:val="single" w:sz="8" w:space="0" w:color="auto"/>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4</w:t>
            </w:r>
          </w:p>
        </w:tc>
        <w:tc>
          <w:tcPr>
            <w:tcW w:w="3295" w:type="dxa"/>
            <w:tcBorders>
              <w:top w:val="nil"/>
              <w:left w:val="nil"/>
              <w:bottom w:val="nil"/>
              <w:right w:val="nil"/>
            </w:tcBorders>
            <w:shd w:val="clear" w:color="auto" w:fill="auto"/>
            <w:noWrap/>
            <w:vAlign w:val="bottom"/>
            <w:hideMark/>
          </w:tcPr>
          <w:p w:rsidR="0016688E" w:rsidRPr="00D95123" w:rsidRDefault="0016688E" w:rsidP="008E01DF">
            <w:pPr>
              <w:rPr>
                <w:rFonts w:eastAsia="Times New Roman" w:cs="Calibri"/>
                <w:color w:val="000000"/>
                <w:sz w:val="18"/>
                <w:szCs w:val="18"/>
              </w:rPr>
            </w:pPr>
            <w:r w:rsidRPr="00D95123">
              <w:rPr>
                <w:rFonts w:eastAsia="Times New Roman" w:cs="Calibri"/>
                <w:color w:val="000000"/>
                <w:sz w:val="18"/>
                <w:szCs w:val="18"/>
              </w:rPr>
              <w:t>General Directorate of National Security</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40,741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40,741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42,941 </w:t>
            </w:r>
          </w:p>
        </w:tc>
        <w:tc>
          <w:tcPr>
            <w:tcW w:w="922" w:type="dxa"/>
            <w:tcBorders>
              <w:top w:val="nil"/>
              <w:left w:val="nil"/>
              <w:bottom w:val="nil"/>
              <w:right w:val="single" w:sz="8" w:space="0" w:color="auto"/>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46,941 </w:t>
            </w:r>
          </w:p>
        </w:tc>
      </w:tr>
      <w:tr w:rsidR="0016688E" w:rsidRPr="00D95123" w:rsidTr="00F868CF">
        <w:trPr>
          <w:trHeight w:val="202"/>
        </w:trPr>
        <w:tc>
          <w:tcPr>
            <w:tcW w:w="1139" w:type="dxa"/>
            <w:tcBorders>
              <w:top w:val="nil"/>
              <w:left w:val="single" w:sz="8" w:space="0" w:color="auto"/>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5</w:t>
            </w:r>
          </w:p>
        </w:tc>
        <w:tc>
          <w:tcPr>
            <w:tcW w:w="3295" w:type="dxa"/>
            <w:tcBorders>
              <w:top w:val="nil"/>
              <w:left w:val="nil"/>
              <w:bottom w:val="nil"/>
              <w:right w:val="nil"/>
            </w:tcBorders>
            <w:shd w:val="clear" w:color="auto" w:fill="auto"/>
            <w:noWrap/>
            <w:vAlign w:val="bottom"/>
            <w:hideMark/>
          </w:tcPr>
          <w:p w:rsidR="0016688E" w:rsidRPr="00D95123" w:rsidRDefault="0016688E" w:rsidP="008E01DF">
            <w:pPr>
              <w:rPr>
                <w:rFonts w:eastAsia="Times New Roman" w:cs="Calibri"/>
                <w:color w:val="000000"/>
                <w:sz w:val="18"/>
                <w:szCs w:val="18"/>
              </w:rPr>
            </w:pPr>
            <w:r w:rsidRPr="00D95123">
              <w:rPr>
                <w:rFonts w:eastAsia="Times New Roman" w:cs="Calibri"/>
                <w:color w:val="000000"/>
                <w:sz w:val="18"/>
                <w:szCs w:val="18"/>
              </w:rPr>
              <w:t>Ministry Health</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18,395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18,403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18,403 </w:t>
            </w:r>
          </w:p>
        </w:tc>
        <w:tc>
          <w:tcPr>
            <w:tcW w:w="922" w:type="dxa"/>
            <w:tcBorders>
              <w:top w:val="nil"/>
              <w:left w:val="nil"/>
              <w:bottom w:val="nil"/>
              <w:right w:val="single" w:sz="8" w:space="0" w:color="auto"/>
            </w:tcBorders>
            <w:shd w:val="clear" w:color="auto" w:fill="auto"/>
            <w:noWrap/>
            <w:vAlign w:val="bottom"/>
            <w:hideMark/>
          </w:tcPr>
          <w:p w:rsidR="0016688E" w:rsidRPr="00D95123" w:rsidRDefault="0016688E" w:rsidP="00EA5551">
            <w:pPr>
              <w:jc w:val="center"/>
              <w:rPr>
                <w:rFonts w:eastAsia="Times New Roman" w:cs="Calibri"/>
                <w:color w:val="000000"/>
                <w:sz w:val="18"/>
                <w:szCs w:val="18"/>
              </w:rPr>
            </w:pPr>
            <w:r w:rsidRPr="00D95123">
              <w:rPr>
                <w:rFonts w:eastAsia="Times New Roman" w:cs="Calibri"/>
                <w:color w:val="000000"/>
                <w:sz w:val="18"/>
                <w:szCs w:val="18"/>
              </w:rPr>
              <w:t xml:space="preserve">               18,342 </w:t>
            </w:r>
          </w:p>
        </w:tc>
      </w:tr>
      <w:tr w:rsidR="0016688E" w:rsidRPr="00D95123" w:rsidTr="00F868CF">
        <w:trPr>
          <w:trHeight w:val="202"/>
        </w:trPr>
        <w:tc>
          <w:tcPr>
            <w:tcW w:w="1139" w:type="dxa"/>
            <w:tcBorders>
              <w:top w:val="nil"/>
              <w:left w:val="single" w:sz="8" w:space="0" w:color="auto"/>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6</w:t>
            </w:r>
          </w:p>
        </w:tc>
        <w:tc>
          <w:tcPr>
            <w:tcW w:w="3295" w:type="dxa"/>
            <w:tcBorders>
              <w:top w:val="nil"/>
              <w:left w:val="nil"/>
              <w:bottom w:val="nil"/>
              <w:right w:val="nil"/>
            </w:tcBorders>
            <w:shd w:val="clear" w:color="auto" w:fill="auto"/>
            <w:noWrap/>
            <w:vAlign w:val="bottom"/>
            <w:hideMark/>
          </w:tcPr>
          <w:p w:rsidR="0016688E" w:rsidRPr="00D95123" w:rsidRDefault="0016688E" w:rsidP="008E01DF">
            <w:pPr>
              <w:rPr>
                <w:rFonts w:eastAsia="Times New Roman" w:cs="Calibri"/>
                <w:color w:val="000000"/>
                <w:sz w:val="18"/>
                <w:szCs w:val="18"/>
              </w:rPr>
            </w:pPr>
            <w:r w:rsidRPr="00D95123">
              <w:rPr>
                <w:rFonts w:eastAsia="Times New Roman" w:cs="Calibri"/>
                <w:color w:val="000000"/>
                <w:sz w:val="18"/>
                <w:szCs w:val="18"/>
              </w:rPr>
              <w:t>Ministry of Higher Education</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12,844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13,444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13,844 </w:t>
            </w:r>
          </w:p>
        </w:tc>
        <w:tc>
          <w:tcPr>
            <w:tcW w:w="922" w:type="dxa"/>
            <w:tcBorders>
              <w:top w:val="nil"/>
              <w:left w:val="nil"/>
              <w:bottom w:val="nil"/>
              <w:right w:val="single" w:sz="8" w:space="0" w:color="auto"/>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13,844 </w:t>
            </w:r>
          </w:p>
        </w:tc>
      </w:tr>
      <w:tr w:rsidR="0016688E" w:rsidRPr="00D95123" w:rsidTr="00F868CF">
        <w:trPr>
          <w:trHeight w:val="202"/>
        </w:trPr>
        <w:tc>
          <w:tcPr>
            <w:tcW w:w="1139" w:type="dxa"/>
            <w:tcBorders>
              <w:top w:val="nil"/>
              <w:left w:val="single" w:sz="8" w:space="0" w:color="auto"/>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7</w:t>
            </w:r>
          </w:p>
        </w:tc>
        <w:tc>
          <w:tcPr>
            <w:tcW w:w="3295" w:type="dxa"/>
            <w:tcBorders>
              <w:top w:val="nil"/>
              <w:left w:val="nil"/>
              <w:bottom w:val="nil"/>
              <w:right w:val="nil"/>
            </w:tcBorders>
            <w:shd w:val="clear" w:color="auto" w:fill="auto"/>
            <w:noWrap/>
            <w:vAlign w:val="bottom"/>
            <w:hideMark/>
          </w:tcPr>
          <w:p w:rsidR="0016688E" w:rsidRPr="00D95123" w:rsidRDefault="0016688E" w:rsidP="008E01DF">
            <w:pPr>
              <w:rPr>
                <w:rFonts w:eastAsia="Times New Roman" w:cs="Calibri"/>
                <w:color w:val="000000"/>
                <w:sz w:val="18"/>
                <w:szCs w:val="18"/>
              </w:rPr>
            </w:pPr>
            <w:r w:rsidRPr="00D95123">
              <w:rPr>
                <w:rFonts w:eastAsia="Times New Roman" w:cs="Calibri"/>
                <w:color w:val="000000"/>
                <w:sz w:val="18"/>
                <w:szCs w:val="18"/>
              </w:rPr>
              <w:t>Ministry of Finance</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8,607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8,120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9,707 </w:t>
            </w:r>
          </w:p>
        </w:tc>
        <w:tc>
          <w:tcPr>
            <w:tcW w:w="922" w:type="dxa"/>
            <w:tcBorders>
              <w:top w:val="nil"/>
              <w:left w:val="nil"/>
              <w:bottom w:val="nil"/>
              <w:right w:val="single" w:sz="8" w:space="0" w:color="auto"/>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9,707 </w:t>
            </w:r>
          </w:p>
        </w:tc>
      </w:tr>
      <w:tr w:rsidR="0016688E" w:rsidRPr="00D95123" w:rsidTr="00F868CF">
        <w:trPr>
          <w:trHeight w:val="202"/>
        </w:trPr>
        <w:tc>
          <w:tcPr>
            <w:tcW w:w="1139" w:type="dxa"/>
            <w:tcBorders>
              <w:top w:val="nil"/>
              <w:left w:val="single" w:sz="8" w:space="0" w:color="auto"/>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8</w:t>
            </w:r>
          </w:p>
        </w:tc>
        <w:tc>
          <w:tcPr>
            <w:tcW w:w="3295" w:type="dxa"/>
            <w:tcBorders>
              <w:top w:val="nil"/>
              <w:left w:val="nil"/>
              <w:bottom w:val="nil"/>
              <w:right w:val="nil"/>
            </w:tcBorders>
            <w:shd w:val="clear" w:color="auto" w:fill="auto"/>
            <w:noWrap/>
            <w:vAlign w:val="bottom"/>
            <w:hideMark/>
          </w:tcPr>
          <w:p w:rsidR="0016688E" w:rsidRPr="00D95123" w:rsidRDefault="0016688E" w:rsidP="008E01DF">
            <w:pPr>
              <w:rPr>
                <w:rFonts w:eastAsia="Times New Roman" w:cs="Calibri"/>
                <w:color w:val="000000"/>
                <w:sz w:val="18"/>
                <w:szCs w:val="18"/>
              </w:rPr>
            </w:pPr>
            <w:r w:rsidRPr="00D95123">
              <w:rPr>
                <w:rFonts w:eastAsia="Times New Roman" w:cs="Calibri"/>
                <w:color w:val="000000"/>
                <w:sz w:val="18"/>
                <w:szCs w:val="18"/>
              </w:rPr>
              <w:t>Ministry of Agriculture</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8,388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8,388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8,384 </w:t>
            </w:r>
          </w:p>
        </w:tc>
        <w:tc>
          <w:tcPr>
            <w:tcW w:w="922" w:type="dxa"/>
            <w:tcBorders>
              <w:top w:val="nil"/>
              <w:left w:val="nil"/>
              <w:bottom w:val="nil"/>
              <w:right w:val="single" w:sz="8" w:space="0" w:color="auto"/>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8,388 </w:t>
            </w:r>
          </w:p>
        </w:tc>
      </w:tr>
      <w:tr w:rsidR="0016688E" w:rsidRPr="00D95123" w:rsidTr="00F868CF">
        <w:trPr>
          <w:trHeight w:val="202"/>
        </w:trPr>
        <w:tc>
          <w:tcPr>
            <w:tcW w:w="1139" w:type="dxa"/>
            <w:tcBorders>
              <w:top w:val="nil"/>
              <w:left w:val="single" w:sz="8" w:space="0" w:color="auto"/>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9</w:t>
            </w:r>
          </w:p>
        </w:tc>
        <w:tc>
          <w:tcPr>
            <w:tcW w:w="3295" w:type="dxa"/>
            <w:tcBorders>
              <w:top w:val="nil"/>
              <w:left w:val="nil"/>
              <w:bottom w:val="nil"/>
              <w:right w:val="nil"/>
            </w:tcBorders>
            <w:shd w:val="clear" w:color="auto" w:fill="auto"/>
            <w:noWrap/>
            <w:vAlign w:val="bottom"/>
            <w:hideMark/>
          </w:tcPr>
          <w:p w:rsidR="0016688E" w:rsidRPr="00D95123" w:rsidRDefault="0016688E" w:rsidP="008E01DF">
            <w:pPr>
              <w:rPr>
                <w:rFonts w:eastAsia="Times New Roman" w:cs="Calibri"/>
                <w:color w:val="000000"/>
                <w:sz w:val="18"/>
                <w:szCs w:val="18"/>
              </w:rPr>
            </w:pPr>
            <w:r w:rsidRPr="00D95123">
              <w:rPr>
                <w:rFonts w:eastAsia="Times New Roman" w:cs="Calibri"/>
                <w:color w:val="000000"/>
                <w:sz w:val="18"/>
                <w:szCs w:val="18"/>
              </w:rPr>
              <w:t>Ministry of Hajj and Religious Affairs</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8,329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8,371 </w:t>
            </w:r>
          </w:p>
        </w:tc>
        <w:tc>
          <w:tcPr>
            <w:tcW w:w="922" w:type="dxa"/>
            <w:tcBorders>
              <w:top w:val="nil"/>
              <w:left w:val="nil"/>
              <w:bottom w:val="nil"/>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8,371 </w:t>
            </w:r>
          </w:p>
        </w:tc>
        <w:tc>
          <w:tcPr>
            <w:tcW w:w="922" w:type="dxa"/>
            <w:tcBorders>
              <w:top w:val="nil"/>
              <w:left w:val="nil"/>
              <w:bottom w:val="nil"/>
              <w:right w:val="single" w:sz="8" w:space="0" w:color="auto"/>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8,371 </w:t>
            </w:r>
          </w:p>
        </w:tc>
      </w:tr>
      <w:tr w:rsidR="0016688E" w:rsidRPr="00D95123" w:rsidTr="00F868CF">
        <w:trPr>
          <w:trHeight w:val="762"/>
        </w:trPr>
        <w:tc>
          <w:tcPr>
            <w:tcW w:w="1139" w:type="dxa"/>
            <w:tcBorders>
              <w:top w:val="nil"/>
              <w:left w:val="single" w:sz="8" w:space="0" w:color="auto"/>
              <w:bottom w:val="single" w:sz="8" w:space="0" w:color="auto"/>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10</w:t>
            </w:r>
          </w:p>
        </w:tc>
        <w:tc>
          <w:tcPr>
            <w:tcW w:w="3295" w:type="dxa"/>
            <w:tcBorders>
              <w:top w:val="nil"/>
              <w:left w:val="nil"/>
              <w:bottom w:val="single" w:sz="8" w:space="0" w:color="auto"/>
              <w:right w:val="nil"/>
            </w:tcBorders>
            <w:shd w:val="clear" w:color="auto" w:fill="auto"/>
            <w:noWrap/>
            <w:vAlign w:val="bottom"/>
            <w:hideMark/>
          </w:tcPr>
          <w:p w:rsidR="0016688E" w:rsidRPr="00D95123" w:rsidRDefault="0016688E" w:rsidP="008E01DF">
            <w:pPr>
              <w:rPr>
                <w:rFonts w:eastAsia="Times New Roman" w:cs="Calibri"/>
                <w:color w:val="000000"/>
                <w:sz w:val="18"/>
                <w:szCs w:val="18"/>
              </w:rPr>
            </w:pPr>
            <w:r w:rsidRPr="00D95123">
              <w:rPr>
                <w:rFonts w:eastAsia="Times New Roman" w:cs="Calibri"/>
                <w:color w:val="000000"/>
                <w:sz w:val="18"/>
                <w:szCs w:val="18"/>
              </w:rPr>
              <w:t>Independent Directorate of Local Governance</w:t>
            </w:r>
          </w:p>
        </w:tc>
        <w:tc>
          <w:tcPr>
            <w:tcW w:w="922" w:type="dxa"/>
            <w:tcBorders>
              <w:top w:val="nil"/>
              <w:left w:val="nil"/>
              <w:bottom w:val="single" w:sz="8" w:space="0" w:color="auto"/>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7,450 </w:t>
            </w:r>
          </w:p>
        </w:tc>
        <w:tc>
          <w:tcPr>
            <w:tcW w:w="922" w:type="dxa"/>
            <w:tcBorders>
              <w:top w:val="nil"/>
              <w:left w:val="nil"/>
              <w:bottom w:val="single" w:sz="8" w:space="0" w:color="auto"/>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7,514 </w:t>
            </w:r>
          </w:p>
        </w:tc>
        <w:tc>
          <w:tcPr>
            <w:tcW w:w="922" w:type="dxa"/>
            <w:tcBorders>
              <w:top w:val="nil"/>
              <w:left w:val="nil"/>
              <w:bottom w:val="single" w:sz="8" w:space="0" w:color="auto"/>
              <w:right w:val="nil"/>
            </w:tcBorders>
            <w:shd w:val="clear" w:color="auto" w:fill="auto"/>
            <w:noWrap/>
            <w:vAlign w:val="bottom"/>
            <w:hideMark/>
          </w:tcPr>
          <w:p w:rsidR="0016688E" w:rsidRPr="00D95123" w:rsidRDefault="0016688E" w:rsidP="008E01DF">
            <w:pPr>
              <w:jc w:val="center"/>
              <w:rPr>
                <w:rFonts w:eastAsia="Times New Roman" w:cs="Calibri"/>
                <w:color w:val="000000"/>
                <w:sz w:val="18"/>
                <w:szCs w:val="18"/>
              </w:rPr>
            </w:pPr>
            <w:r w:rsidRPr="00D95123">
              <w:rPr>
                <w:rFonts w:eastAsia="Times New Roman" w:cs="Calibri"/>
                <w:color w:val="000000"/>
                <w:sz w:val="18"/>
                <w:szCs w:val="18"/>
              </w:rPr>
              <w:t xml:space="preserve">                 7,624 </w:t>
            </w:r>
          </w:p>
        </w:tc>
        <w:tc>
          <w:tcPr>
            <w:tcW w:w="922" w:type="dxa"/>
            <w:tcBorders>
              <w:top w:val="nil"/>
              <w:left w:val="nil"/>
              <w:bottom w:val="single" w:sz="8" w:space="0" w:color="auto"/>
              <w:right w:val="single" w:sz="8" w:space="0" w:color="auto"/>
            </w:tcBorders>
            <w:shd w:val="clear" w:color="auto" w:fill="auto"/>
            <w:noWrap/>
            <w:vAlign w:val="bottom"/>
            <w:hideMark/>
          </w:tcPr>
          <w:p w:rsidR="0016688E" w:rsidRPr="00D95123" w:rsidRDefault="0016688E" w:rsidP="0016688E">
            <w:pPr>
              <w:jc w:val="center"/>
              <w:rPr>
                <w:rFonts w:eastAsia="Times New Roman" w:cs="Calibri"/>
                <w:color w:val="000000"/>
                <w:sz w:val="18"/>
                <w:szCs w:val="18"/>
              </w:rPr>
            </w:pPr>
            <w:r w:rsidRPr="00D95123">
              <w:rPr>
                <w:rFonts w:eastAsia="Times New Roman" w:cs="Calibri"/>
                <w:color w:val="000000"/>
                <w:sz w:val="18"/>
                <w:szCs w:val="18"/>
              </w:rPr>
              <w:t xml:space="preserve">                 7,6</w:t>
            </w:r>
            <w:r>
              <w:rPr>
                <w:rFonts w:eastAsia="Times New Roman" w:cs="Calibri"/>
                <w:color w:val="000000"/>
                <w:sz w:val="18"/>
                <w:szCs w:val="18"/>
              </w:rPr>
              <w:t>42</w:t>
            </w:r>
            <w:r w:rsidRPr="00D95123">
              <w:rPr>
                <w:rFonts w:eastAsia="Times New Roman" w:cs="Calibri"/>
                <w:color w:val="000000"/>
                <w:sz w:val="18"/>
                <w:szCs w:val="18"/>
              </w:rPr>
              <w:t xml:space="preserve"> </w:t>
            </w:r>
          </w:p>
        </w:tc>
      </w:tr>
    </w:tbl>
    <w:p w:rsidR="0055014A" w:rsidRPr="00A63524" w:rsidRDefault="0055014A" w:rsidP="00A63524">
      <w:pPr>
        <w:pStyle w:val="Heading2"/>
      </w:pPr>
      <w:bookmarkStart w:id="181" w:name="_Toc535744327"/>
      <w:bookmarkStart w:id="182" w:name="_Toc535750256"/>
      <w:r w:rsidRPr="00A63524">
        <w:lastRenderedPageBreak/>
        <w:t>National Technical Assistance (NTA):</w:t>
      </w:r>
      <w:bookmarkEnd w:id="181"/>
      <w:bookmarkEnd w:id="182"/>
      <w:r w:rsidRPr="00A63524">
        <w:t xml:space="preserve"> </w:t>
      </w:r>
    </w:p>
    <w:p w:rsidR="0055014A" w:rsidRDefault="0055014A" w:rsidP="005A49D3">
      <w:pPr>
        <w:spacing w:line="276" w:lineRule="auto"/>
        <w:jc w:val="both"/>
        <w:rPr>
          <w:szCs w:val="22"/>
          <w:lang w:bidi="ps-AF"/>
        </w:rPr>
      </w:pPr>
      <w:r w:rsidRPr="005A49D3">
        <w:rPr>
          <w:szCs w:val="22"/>
          <w:lang w:bidi="ps-AF"/>
        </w:rPr>
        <w:t xml:space="preserve">Historically, the total </w:t>
      </w:r>
      <w:r w:rsidR="00F868CF" w:rsidRPr="005A49D3">
        <w:rPr>
          <w:szCs w:val="22"/>
          <w:lang w:bidi="ps-AF"/>
        </w:rPr>
        <w:t>number of NTAs funded by the budget shows</w:t>
      </w:r>
      <w:r w:rsidRPr="005A49D3">
        <w:rPr>
          <w:szCs w:val="22"/>
          <w:lang w:bidi="ps-AF"/>
        </w:rPr>
        <w:t xml:space="preserve"> an increasing trend. The total NTAs increased from 12,676 in 1394 to total of 20,141 (an increase of 59%). The Government as part of its measures to decrease NTA levels reduced the total numbers by about 5% in 1397 as compared to 1396.  The Government will continue to drop NTA levels to a considerable level in 1398. In order to maintain the efficiency of ministry core functions and mitigate the risk of poor service delivery, the Government will phase out the NTAs in all line ministries by gradually accommodating key NTA positions in its tashkeel and keeping a minimum number of NTA in the structures. </w:t>
      </w:r>
    </w:p>
    <w:p w:rsidR="001225F0" w:rsidRPr="001225F0" w:rsidRDefault="001225F0" w:rsidP="001225F0">
      <w:pPr>
        <w:pStyle w:val="Caption"/>
        <w:bidi w:val="0"/>
        <w:rPr>
          <w:rFonts w:ascii="Garamond" w:hAnsi="Garamond"/>
          <w:sz w:val="22"/>
          <w:szCs w:val="22"/>
        </w:rPr>
      </w:pPr>
      <w:bookmarkStart w:id="183" w:name="_Toc535750373"/>
      <w:r w:rsidRPr="001225F0">
        <w:rPr>
          <w:rFonts w:ascii="Garamond" w:hAnsi="Garamond"/>
          <w:sz w:val="22"/>
          <w:szCs w:val="22"/>
        </w:rPr>
        <w:t xml:space="preserve">Figure </w:t>
      </w:r>
      <w:r w:rsidRPr="001225F0">
        <w:rPr>
          <w:rFonts w:ascii="Garamond" w:hAnsi="Garamond"/>
          <w:sz w:val="22"/>
          <w:szCs w:val="22"/>
        </w:rPr>
        <w:fldChar w:fldCharType="begin"/>
      </w:r>
      <w:r w:rsidRPr="001225F0">
        <w:rPr>
          <w:rFonts w:ascii="Garamond" w:hAnsi="Garamond"/>
          <w:sz w:val="22"/>
          <w:szCs w:val="22"/>
        </w:rPr>
        <w:instrText xml:space="preserve"> SEQ Figure \* ARABIC </w:instrText>
      </w:r>
      <w:r w:rsidRPr="001225F0">
        <w:rPr>
          <w:rFonts w:ascii="Garamond" w:hAnsi="Garamond"/>
          <w:sz w:val="22"/>
          <w:szCs w:val="22"/>
        </w:rPr>
        <w:fldChar w:fldCharType="separate"/>
      </w:r>
      <w:r w:rsidR="00862183">
        <w:rPr>
          <w:rFonts w:ascii="Garamond" w:hAnsi="Garamond"/>
          <w:noProof/>
          <w:sz w:val="22"/>
          <w:szCs w:val="22"/>
        </w:rPr>
        <w:t>8</w:t>
      </w:r>
      <w:r w:rsidRPr="001225F0">
        <w:rPr>
          <w:rFonts w:ascii="Garamond" w:hAnsi="Garamond"/>
          <w:sz w:val="22"/>
          <w:szCs w:val="22"/>
        </w:rPr>
        <w:fldChar w:fldCharType="end"/>
      </w:r>
      <w:r>
        <w:rPr>
          <w:rFonts w:ascii="Garamond" w:hAnsi="Garamond"/>
          <w:sz w:val="22"/>
          <w:szCs w:val="22"/>
        </w:rPr>
        <w:t xml:space="preserve"> </w:t>
      </w:r>
      <w:r w:rsidRPr="001225F0">
        <w:rPr>
          <w:rFonts w:ascii="Garamond" w:hAnsi="Garamond"/>
          <w:sz w:val="22"/>
          <w:szCs w:val="22"/>
        </w:rPr>
        <w:t>NTA Staffs</w:t>
      </w:r>
      <w:bookmarkEnd w:id="183"/>
    </w:p>
    <w:p w:rsidR="00813F77" w:rsidRPr="005A49D3" w:rsidRDefault="0055014A" w:rsidP="00E605D8">
      <w:pPr>
        <w:jc w:val="center"/>
        <w:rPr>
          <w:szCs w:val="22"/>
        </w:rPr>
      </w:pPr>
      <w:r w:rsidRPr="005A49D3">
        <w:rPr>
          <w:noProof/>
          <w:szCs w:val="22"/>
        </w:rPr>
        <w:drawing>
          <wp:inline distT="0" distB="0" distL="0" distR="0" wp14:anchorId="287B0FE9" wp14:editId="141E2401">
            <wp:extent cx="50292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5014A" w:rsidRPr="005A49D3" w:rsidRDefault="0055014A" w:rsidP="00813F77">
      <w:pPr>
        <w:rPr>
          <w:szCs w:val="22"/>
        </w:rPr>
      </w:pPr>
    </w:p>
    <w:p w:rsidR="00B955A6" w:rsidRPr="001225F0" w:rsidRDefault="001225F0" w:rsidP="001225F0">
      <w:pPr>
        <w:pStyle w:val="Caption"/>
        <w:bidi w:val="0"/>
        <w:rPr>
          <w:rFonts w:ascii="Garamond" w:hAnsi="Garamond"/>
          <w:sz w:val="22"/>
          <w:szCs w:val="22"/>
        </w:rPr>
      </w:pPr>
      <w:bookmarkStart w:id="184" w:name="_Toc535750274"/>
      <w:r w:rsidRPr="001225F0">
        <w:rPr>
          <w:rFonts w:ascii="Garamond" w:hAnsi="Garamond"/>
          <w:sz w:val="22"/>
          <w:szCs w:val="22"/>
        </w:rPr>
        <w:t xml:space="preserve">Table </w:t>
      </w:r>
      <w:r w:rsidRPr="001225F0">
        <w:rPr>
          <w:rFonts w:ascii="Garamond" w:hAnsi="Garamond"/>
          <w:sz w:val="22"/>
          <w:szCs w:val="22"/>
        </w:rPr>
        <w:fldChar w:fldCharType="begin"/>
      </w:r>
      <w:r w:rsidRPr="001225F0">
        <w:rPr>
          <w:rFonts w:ascii="Garamond" w:hAnsi="Garamond"/>
          <w:sz w:val="22"/>
          <w:szCs w:val="22"/>
        </w:rPr>
        <w:instrText xml:space="preserve"> SEQ Table \* ARABIC </w:instrText>
      </w:r>
      <w:r w:rsidRPr="001225F0">
        <w:rPr>
          <w:rFonts w:ascii="Garamond" w:hAnsi="Garamond"/>
          <w:sz w:val="22"/>
          <w:szCs w:val="22"/>
        </w:rPr>
        <w:fldChar w:fldCharType="separate"/>
      </w:r>
      <w:r w:rsidR="00862183">
        <w:rPr>
          <w:rFonts w:ascii="Garamond" w:hAnsi="Garamond"/>
          <w:noProof/>
          <w:sz w:val="22"/>
          <w:szCs w:val="22"/>
        </w:rPr>
        <w:t>13</w:t>
      </w:r>
      <w:r w:rsidRPr="001225F0">
        <w:rPr>
          <w:rFonts w:ascii="Garamond" w:hAnsi="Garamond"/>
          <w:sz w:val="22"/>
          <w:szCs w:val="22"/>
        </w:rPr>
        <w:fldChar w:fldCharType="end"/>
      </w:r>
      <w:r>
        <w:rPr>
          <w:rFonts w:ascii="Garamond" w:hAnsi="Garamond"/>
          <w:sz w:val="22"/>
          <w:szCs w:val="22"/>
        </w:rPr>
        <w:t xml:space="preserve"> T</w:t>
      </w:r>
      <w:r w:rsidRPr="001225F0">
        <w:rPr>
          <w:rFonts w:ascii="Garamond" w:hAnsi="Garamond"/>
          <w:sz w:val="22"/>
          <w:szCs w:val="22"/>
        </w:rPr>
        <w:t>he top 10 Ministries with largest Number of NTAs for 1397</w:t>
      </w:r>
      <w:bookmarkEnd w:id="184"/>
    </w:p>
    <w:tbl>
      <w:tblPr>
        <w:tblW w:w="7993"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352"/>
        <w:gridCol w:w="3413"/>
        <w:gridCol w:w="1057"/>
        <w:gridCol w:w="1057"/>
        <w:gridCol w:w="1057"/>
        <w:gridCol w:w="1057"/>
      </w:tblGrid>
      <w:tr w:rsidR="00F01BD3" w:rsidRPr="00F01BD3" w:rsidTr="00B955A6">
        <w:trPr>
          <w:divId w:val="869489323"/>
          <w:trHeight w:val="295"/>
        </w:trPr>
        <w:tc>
          <w:tcPr>
            <w:tcW w:w="352" w:type="dxa"/>
            <w:shd w:val="clear" w:color="000000" w:fill="C6D9F1"/>
            <w:noWrap/>
            <w:tcMar>
              <w:top w:w="15" w:type="dxa"/>
              <w:left w:w="15" w:type="dxa"/>
              <w:bottom w:w="0" w:type="dxa"/>
              <w:right w:w="15" w:type="dxa"/>
            </w:tcMar>
            <w:vAlign w:val="center"/>
            <w:hideMark/>
          </w:tcPr>
          <w:p w:rsidR="00F01BD3" w:rsidRPr="00F01BD3" w:rsidRDefault="00F01BD3" w:rsidP="00A63524">
            <w:pPr>
              <w:bidi/>
              <w:spacing w:after="0"/>
              <w:jc w:val="center"/>
              <w:rPr>
                <w:rFonts w:eastAsia="Times New Roman" w:cs="Calibri"/>
                <w:b/>
                <w:bCs/>
                <w:color w:val="000000"/>
                <w:kern w:val="0"/>
                <w:sz w:val="18"/>
                <w:szCs w:val="18"/>
              </w:rPr>
            </w:pPr>
            <w:r w:rsidRPr="00F01BD3">
              <w:rPr>
                <w:rFonts w:eastAsia="Times New Roman" w:cs="Calibri"/>
                <w:b/>
                <w:bCs/>
                <w:color w:val="000000"/>
                <w:kern w:val="0"/>
                <w:sz w:val="18"/>
                <w:szCs w:val="18"/>
                <w:rtl/>
              </w:rPr>
              <w:t>#</w:t>
            </w:r>
          </w:p>
        </w:tc>
        <w:tc>
          <w:tcPr>
            <w:tcW w:w="3413" w:type="dxa"/>
            <w:shd w:val="clear" w:color="000000" w:fill="C6D9F1"/>
            <w:noWrap/>
            <w:tcMar>
              <w:top w:w="15" w:type="dxa"/>
              <w:left w:w="15" w:type="dxa"/>
              <w:bottom w:w="0" w:type="dxa"/>
              <w:right w:w="15" w:type="dxa"/>
            </w:tcMar>
            <w:vAlign w:val="center"/>
            <w:hideMark/>
          </w:tcPr>
          <w:p w:rsidR="00F01BD3" w:rsidRPr="00F01BD3" w:rsidRDefault="00F01BD3" w:rsidP="00F01BD3">
            <w:pPr>
              <w:spacing w:after="0"/>
              <w:jc w:val="both"/>
              <w:rPr>
                <w:rFonts w:eastAsia="Times New Roman" w:cs="Calibri"/>
                <w:b/>
                <w:bCs/>
                <w:color w:val="000000"/>
                <w:kern w:val="0"/>
                <w:sz w:val="18"/>
                <w:szCs w:val="18"/>
              </w:rPr>
            </w:pPr>
            <w:r w:rsidRPr="00F01BD3">
              <w:rPr>
                <w:rFonts w:eastAsia="Times New Roman" w:cs="Calibri"/>
                <w:b/>
                <w:bCs/>
                <w:color w:val="000000"/>
                <w:kern w:val="0"/>
                <w:sz w:val="18"/>
                <w:szCs w:val="18"/>
              </w:rPr>
              <w:t>Budgetary</w:t>
            </w:r>
            <w:r w:rsidRPr="00F01BD3">
              <w:rPr>
                <w:rFonts w:eastAsia="Times New Roman" w:cs="Calibri"/>
                <w:b/>
                <w:bCs/>
                <w:color w:val="000000"/>
                <w:kern w:val="0"/>
                <w:sz w:val="18"/>
                <w:szCs w:val="18"/>
                <w:rtl/>
              </w:rPr>
              <w:t xml:space="preserve"> </w:t>
            </w:r>
            <w:r w:rsidRPr="00F01BD3">
              <w:rPr>
                <w:rFonts w:eastAsia="Times New Roman" w:cs="Calibri"/>
                <w:b/>
                <w:bCs/>
                <w:color w:val="000000"/>
                <w:kern w:val="0"/>
                <w:sz w:val="18"/>
                <w:szCs w:val="18"/>
              </w:rPr>
              <w:t>units</w:t>
            </w:r>
          </w:p>
        </w:tc>
        <w:tc>
          <w:tcPr>
            <w:tcW w:w="1057" w:type="dxa"/>
            <w:shd w:val="clear" w:color="000000" w:fill="C6D9F1"/>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b/>
                <w:bCs/>
                <w:color w:val="000000"/>
                <w:kern w:val="0"/>
                <w:sz w:val="18"/>
                <w:szCs w:val="18"/>
              </w:rPr>
            </w:pPr>
            <w:r w:rsidRPr="00F868CF">
              <w:rPr>
                <w:rFonts w:eastAsia="Times New Roman" w:cs="Calibri Light"/>
                <w:b/>
                <w:bCs/>
                <w:color w:val="000000"/>
                <w:kern w:val="0"/>
                <w:sz w:val="18"/>
                <w:szCs w:val="18"/>
              </w:rPr>
              <w:t>1394</w:t>
            </w:r>
          </w:p>
        </w:tc>
        <w:tc>
          <w:tcPr>
            <w:tcW w:w="1057" w:type="dxa"/>
            <w:shd w:val="clear" w:color="000000" w:fill="C6D9F1"/>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b/>
                <w:bCs/>
                <w:color w:val="000000"/>
                <w:kern w:val="0"/>
                <w:sz w:val="18"/>
                <w:szCs w:val="18"/>
              </w:rPr>
            </w:pPr>
            <w:r w:rsidRPr="00F868CF">
              <w:rPr>
                <w:rFonts w:eastAsia="Times New Roman" w:cs="Calibri Light"/>
                <w:b/>
                <w:bCs/>
                <w:color w:val="000000"/>
                <w:kern w:val="0"/>
                <w:sz w:val="18"/>
                <w:szCs w:val="18"/>
              </w:rPr>
              <w:t>1395</w:t>
            </w:r>
          </w:p>
        </w:tc>
        <w:tc>
          <w:tcPr>
            <w:tcW w:w="1057" w:type="dxa"/>
            <w:shd w:val="clear" w:color="000000" w:fill="C6D9F1"/>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b/>
                <w:bCs/>
                <w:color w:val="000000"/>
                <w:kern w:val="0"/>
                <w:sz w:val="18"/>
                <w:szCs w:val="18"/>
              </w:rPr>
            </w:pPr>
            <w:r w:rsidRPr="00F868CF">
              <w:rPr>
                <w:rFonts w:eastAsia="Times New Roman" w:cs="Calibri Light"/>
                <w:b/>
                <w:bCs/>
                <w:color w:val="000000"/>
                <w:kern w:val="0"/>
                <w:sz w:val="18"/>
                <w:szCs w:val="18"/>
              </w:rPr>
              <w:t>1396</w:t>
            </w:r>
          </w:p>
        </w:tc>
        <w:tc>
          <w:tcPr>
            <w:tcW w:w="1057" w:type="dxa"/>
            <w:shd w:val="clear" w:color="000000" w:fill="C6D9F1"/>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b/>
                <w:bCs/>
                <w:color w:val="000000"/>
                <w:kern w:val="0"/>
                <w:sz w:val="18"/>
                <w:szCs w:val="18"/>
              </w:rPr>
            </w:pPr>
            <w:r w:rsidRPr="00F868CF">
              <w:rPr>
                <w:rFonts w:eastAsia="Times New Roman" w:cs="Calibri Light"/>
                <w:b/>
                <w:bCs/>
                <w:color w:val="000000"/>
                <w:kern w:val="0"/>
                <w:sz w:val="18"/>
                <w:szCs w:val="18"/>
              </w:rPr>
              <w:t>1397</w:t>
            </w:r>
          </w:p>
        </w:tc>
      </w:tr>
      <w:tr w:rsidR="00F01BD3" w:rsidRPr="00F01BD3" w:rsidTr="00B955A6">
        <w:trPr>
          <w:divId w:val="869489323"/>
          <w:trHeight w:val="383"/>
        </w:trPr>
        <w:tc>
          <w:tcPr>
            <w:tcW w:w="0" w:type="auto"/>
            <w:shd w:val="clear" w:color="auto" w:fill="auto"/>
            <w:noWrap/>
            <w:tcMar>
              <w:top w:w="15" w:type="dxa"/>
              <w:left w:w="15" w:type="dxa"/>
              <w:bottom w:w="0" w:type="dxa"/>
              <w:right w:w="15" w:type="dxa"/>
            </w:tcMar>
            <w:vAlign w:val="center"/>
            <w:hideMark/>
          </w:tcPr>
          <w:p w:rsidR="00F01BD3" w:rsidRPr="00F01BD3" w:rsidRDefault="0016688E" w:rsidP="00A63524">
            <w:pPr>
              <w:bidi/>
              <w:spacing w:after="0"/>
              <w:jc w:val="center"/>
              <w:rPr>
                <w:rFonts w:eastAsia="Times New Roman" w:cs="Calibri Light"/>
                <w:color w:val="000000"/>
                <w:kern w:val="0"/>
                <w:sz w:val="18"/>
                <w:szCs w:val="18"/>
              </w:rPr>
            </w:pPr>
            <w:r w:rsidRPr="00F868CF">
              <w:rPr>
                <w:rFonts w:eastAsia="Times New Roman" w:cs="Calibri Light"/>
                <w:color w:val="000000"/>
                <w:kern w:val="0"/>
                <w:sz w:val="18"/>
                <w:szCs w:val="18"/>
              </w:rPr>
              <w:t>1</w:t>
            </w:r>
          </w:p>
        </w:tc>
        <w:tc>
          <w:tcPr>
            <w:tcW w:w="3413" w:type="dxa"/>
            <w:shd w:val="clear" w:color="auto" w:fill="auto"/>
            <w:tcMar>
              <w:top w:w="15" w:type="dxa"/>
              <w:left w:w="15" w:type="dxa"/>
              <w:bottom w:w="0" w:type="dxa"/>
              <w:right w:w="15" w:type="dxa"/>
            </w:tcMar>
            <w:vAlign w:val="bottom"/>
            <w:hideMark/>
          </w:tcPr>
          <w:p w:rsidR="00F01BD3" w:rsidRPr="00F01BD3" w:rsidRDefault="00F01BD3" w:rsidP="00F01BD3">
            <w:pPr>
              <w:spacing w:after="0"/>
              <w:rPr>
                <w:rFonts w:eastAsia="Times New Roman" w:cs="Calibri"/>
                <w:color w:val="000000"/>
                <w:kern w:val="0"/>
                <w:sz w:val="18"/>
                <w:szCs w:val="18"/>
              </w:rPr>
            </w:pPr>
            <w:r w:rsidRPr="00F01BD3">
              <w:rPr>
                <w:rFonts w:eastAsia="Times New Roman" w:cs="Calibri"/>
                <w:color w:val="000000"/>
                <w:kern w:val="0"/>
                <w:sz w:val="18"/>
                <w:szCs w:val="18"/>
              </w:rPr>
              <w:t>Ministry of Public Health</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tl/>
              </w:rPr>
              <w:t> </w:t>
            </w:r>
            <w:r w:rsidRPr="00F868CF">
              <w:rPr>
                <w:rFonts w:eastAsia="Times New Roman" w:cs="Calibri Light"/>
                <w:color w:val="000000"/>
                <w:kern w:val="0"/>
                <w:sz w:val="18"/>
                <w:szCs w:val="18"/>
              </w:rPr>
              <w:t>3,628</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4,021</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4,865</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4,021</w:t>
            </w:r>
          </w:p>
        </w:tc>
      </w:tr>
      <w:tr w:rsidR="00F01BD3" w:rsidRPr="00F01BD3" w:rsidTr="00B955A6">
        <w:trPr>
          <w:divId w:val="869489323"/>
          <w:trHeight w:val="339"/>
        </w:trPr>
        <w:tc>
          <w:tcPr>
            <w:tcW w:w="0" w:type="auto"/>
            <w:shd w:val="clear" w:color="auto" w:fill="auto"/>
            <w:noWrap/>
            <w:tcMar>
              <w:top w:w="15" w:type="dxa"/>
              <w:left w:w="15" w:type="dxa"/>
              <w:bottom w:w="0" w:type="dxa"/>
              <w:right w:w="15" w:type="dxa"/>
            </w:tcMar>
            <w:vAlign w:val="center"/>
            <w:hideMark/>
          </w:tcPr>
          <w:p w:rsidR="00F01BD3" w:rsidRPr="00F01BD3" w:rsidRDefault="0016688E" w:rsidP="00A63524">
            <w:pPr>
              <w:bidi/>
              <w:spacing w:after="0"/>
              <w:jc w:val="center"/>
              <w:rPr>
                <w:rFonts w:eastAsia="Times New Roman" w:cs="Calibri Light"/>
                <w:color w:val="000000"/>
                <w:kern w:val="0"/>
                <w:sz w:val="18"/>
                <w:szCs w:val="18"/>
              </w:rPr>
            </w:pPr>
            <w:r w:rsidRPr="00F868CF">
              <w:rPr>
                <w:rFonts w:eastAsia="Times New Roman" w:cs="Calibri Light"/>
                <w:color w:val="000000"/>
                <w:kern w:val="0"/>
                <w:sz w:val="18"/>
                <w:szCs w:val="18"/>
              </w:rPr>
              <w:t>2</w:t>
            </w:r>
          </w:p>
        </w:tc>
        <w:tc>
          <w:tcPr>
            <w:tcW w:w="3413" w:type="dxa"/>
            <w:shd w:val="clear" w:color="auto" w:fill="auto"/>
            <w:tcMar>
              <w:top w:w="15" w:type="dxa"/>
              <w:left w:w="15" w:type="dxa"/>
              <w:bottom w:w="0" w:type="dxa"/>
              <w:right w:w="15" w:type="dxa"/>
            </w:tcMar>
            <w:vAlign w:val="bottom"/>
            <w:hideMark/>
          </w:tcPr>
          <w:p w:rsidR="00F01BD3" w:rsidRPr="00F01BD3" w:rsidRDefault="00F01BD3" w:rsidP="00F01BD3">
            <w:pPr>
              <w:spacing w:after="0"/>
              <w:rPr>
                <w:rFonts w:eastAsia="Times New Roman" w:cs="Calibri"/>
                <w:color w:val="000000"/>
                <w:kern w:val="0"/>
                <w:sz w:val="18"/>
                <w:szCs w:val="18"/>
              </w:rPr>
            </w:pPr>
            <w:r w:rsidRPr="00F01BD3">
              <w:rPr>
                <w:rFonts w:eastAsia="Times New Roman" w:cs="Calibri"/>
                <w:color w:val="000000"/>
                <w:kern w:val="0"/>
                <w:sz w:val="18"/>
                <w:szCs w:val="18"/>
              </w:rPr>
              <w:t>Ministry of Rural Rehabilitation and Development</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2,620</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2,738</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2,838</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2,963</w:t>
            </w:r>
          </w:p>
        </w:tc>
      </w:tr>
      <w:tr w:rsidR="00F01BD3" w:rsidRPr="00F01BD3" w:rsidTr="00B955A6">
        <w:trPr>
          <w:divId w:val="869489323"/>
          <w:trHeight w:val="545"/>
        </w:trPr>
        <w:tc>
          <w:tcPr>
            <w:tcW w:w="0" w:type="auto"/>
            <w:shd w:val="clear" w:color="auto" w:fill="auto"/>
            <w:noWrap/>
            <w:tcMar>
              <w:top w:w="15" w:type="dxa"/>
              <w:left w:w="15" w:type="dxa"/>
              <w:bottom w:w="0" w:type="dxa"/>
              <w:right w:w="15" w:type="dxa"/>
            </w:tcMar>
            <w:vAlign w:val="center"/>
            <w:hideMark/>
          </w:tcPr>
          <w:p w:rsidR="00F01BD3" w:rsidRPr="00F01BD3" w:rsidRDefault="0016688E" w:rsidP="00A63524">
            <w:pPr>
              <w:bidi/>
              <w:spacing w:after="0"/>
              <w:jc w:val="center"/>
              <w:rPr>
                <w:rFonts w:eastAsia="Times New Roman" w:cs="Calibri Light"/>
                <w:color w:val="000000"/>
                <w:kern w:val="0"/>
                <w:sz w:val="18"/>
                <w:szCs w:val="18"/>
              </w:rPr>
            </w:pPr>
            <w:r w:rsidRPr="00F868CF">
              <w:rPr>
                <w:rFonts w:eastAsia="Times New Roman" w:cs="Calibri Light"/>
                <w:color w:val="000000"/>
                <w:kern w:val="0"/>
                <w:sz w:val="18"/>
                <w:szCs w:val="18"/>
              </w:rPr>
              <w:t>3</w:t>
            </w:r>
          </w:p>
        </w:tc>
        <w:tc>
          <w:tcPr>
            <w:tcW w:w="3413" w:type="dxa"/>
            <w:shd w:val="clear" w:color="auto" w:fill="auto"/>
            <w:tcMar>
              <w:top w:w="15" w:type="dxa"/>
              <w:left w:w="15" w:type="dxa"/>
              <w:bottom w:w="0" w:type="dxa"/>
              <w:right w:w="15" w:type="dxa"/>
            </w:tcMar>
            <w:vAlign w:val="bottom"/>
            <w:hideMark/>
          </w:tcPr>
          <w:p w:rsidR="00F01BD3" w:rsidRPr="00F01BD3" w:rsidRDefault="00F01BD3" w:rsidP="00F01BD3">
            <w:pPr>
              <w:spacing w:after="0"/>
              <w:rPr>
                <w:rFonts w:eastAsia="Times New Roman" w:cs="Calibri"/>
                <w:color w:val="000000"/>
                <w:kern w:val="0"/>
                <w:sz w:val="18"/>
                <w:szCs w:val="18"/>
              </w:rPr>
            </w:pPr>
            <w:r w:rsidRPr="00F01BD3">
              <w:rPr>
                <w:rFonts w:eastAsia="Times New Roman" w:cs="Calibri"/>
                <w:color w:val="000000"/>
                <w:kern w:val="0"/>
                <w:sz w:val="18"/>
                <w:szCs w:val="18"/>
              </w:rPr>
              <w:t>Ministry of Urban Development and Land Management</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73</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55</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1,985</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1,845</w:t>
            </w:r>
          </w:p>
        </w:tc>
      </w:tr>
      <w:tr w:rsidR="00F01BD3" w:rsidRPr="00F01BD3" w:rsidTr="00B955A6">
        <w:trPr>
          <w:divId w:val="869489323"/>
          <w:trHeight w:val="531"/>
        </w:trPr>
        <w:tc>
          <w:tcPr>
            <w:tcW w:w="0" w:type="auto"/>
            <w:shd w:val="clear" w:color="auto" w:fill="auto"/>
            <w:noWrap/>
            <w:tcMar>
              <w:top w:w="15" w:type="dxa"/>
              <w:left w:w="15" w:type="dxa"/>
              <w:bottom w:w="0" w:type="dxa"/>
              <w:right w:w="15" w:type="dxa"/>
            </w:tcMar>
            <w:vAlign w:val="center"/>
            <w:hideMark/>
          </w:tcPr>
          <w:p w:rsidR="00F01BD3" w:rsidRPr="00F01BD3" w:rsidRDefault="0016688E" w:rsidP="00A63524">
            <w:pPr>
              <w:bidi/>
              <w:spacing w:after="0"/>
              <w:jc w:val="center"/>
              <w:rPr>
                <w:rFonts w:eastAsia="Times New Roman" w:cs="Calibri Light"/>
                <w:color w:val="000000"/>
                <w:kern w:val="0"/>
                <w:sz w:val="18"/>
                <w:szCs w:val="18"/>
              </w:rPr>
            </w:pPr>
            <w:r w:rsidRPr="00F868CF">
              <w:rPr>
                <w:rFonts w:eastAsia="Times New Roman" w:cs="Calibri Light"/>
                <w:color w:val="000000"/>
                <w:kern w:val="0"/>
                <w:sz w:val="18"/>
                <w:szCs w:val="18"/>
              </w:rPr>
              <w:t>4</w:t>
            </w:r>
          </w:p>
        </w:tc>
        <w:tc>
          <w:tcPr>
            <w:tcW w:w="3413" w:type="dxa"/>
            <w:shd w:val="clear" w:color="auto" w:fill="auto"/>
            <w:tcMar>
              <w:top w:w="15" w:type="dxa"/>
              <w:left w:w="15" w:type="dxa"/>
              <w:bottom w:w="0" w:type="dxa"/>
              <w:right w:w="15" w:type="dxa"/>
            </w:tcMar>
            <w:vAlign w:val="bottom"/>
            <w:hideMark/>
          </w:tcPr>
          <w:p w:rsidR="00F01BD3" w:rsidRPr="00F01BD3" w:rsidRDefault="00F01BD3" w:rsidP="00F01BD3">
            <w:pPr>
              <w:spacing w:after="0"/>
              <w:rPr>
                <w:rFonts w:eastAsia="Times New Roman" w:cs="Calibri"/>
                <w:color w:val="000000"/>
                <w:kern w:val="0"/>
                <w:sz w:val="18"/>
                <w:szCs w:val="18"/>
              </w:rPr>
            </w:pPr>
            <w:r w:rsidRPr="00F01BD3">
              <w:rPr>
                <w:rFonts w:eastAsia="Times New Roman" w:cs="Calibri"/>
                <w:color w:val="000000"/>
                <w:kern w:val="0"/>
                <w:sz w:val="18"/>
                <w:szCs w:val="18"/>
              </w:rPr>
              <w:t>Ministry of Agriculture, irrigation and livestock</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1,200</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1,264</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1,384</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1,563</w:t>
            </w:r>
          </w:p>
        </w:tc>
      </w:tr>
      <w:tr w:rsidR="00F01BD3" w:rsidRPr="00F01BD3" w:rsidTr="00B955A6">
        <w:trPr>
          <w:divId w:val="869489323"/>
          <w:trHeight w:val="295"/>
        </w:trPr>
        <w:tc>
          <w:tcPr>
            <w:tcW w:w="0" w:type="auto"/>
            <w:shd w:val="clear" w:color="auto" w:fill="auto"/>
            <w:noWrap/>
            <w:tcMar>
              <w:top w:w="15" w:type="dxa"/>
              <w:left w:w="15" w:type="dxa"/>
              <w:bottom w:w="0" w:type="dxa"/>
              <w:right w:w="15" w:type="dxa"/>
            </w:tcMar>
            <w:vAlign w:val="center"/>
            <w:hideMark/>
          </w:tcPr>
          <w:p w:rsidR="00F01BD3" w:rsidRPr="00F01BD3" w:rsidRDefault="00F01BD3" w:rsidP="00A63524">
            <w:pPr>
              <w:bidi/>
              <w:spacing w:after="0"/>
              <w:jc w:val="center"/>
              <w:rPr>
                <w:rFonts w:eastAsia="Times New Roman" w:cs="Calibri Light"/>
                <w:color w:val="000000"/>
                <w:kern w:val="0"/>
                <w:sz w:val="18"/>
                <w:szCs w:val="18"/>
              </w:rPr>
            </w:pPr>
            <w:r w:rsidRPr="00F868CF">
              <w:rPr>
                <w:rFonts w:eastAsia="Times New Roman" w:cs="Calibri Light"/>
                <w:color w:val="000000"/>
                <w:kern w:val="0"/>
                <w:sz w:val="18"/>
                <w:szCs w:val="18"/>
              </w:rPr>
              <w:t>5</w:t>
            </w:r>
          </w:p>
        </w:tc>
        <w:tc>
          <w:tcPr>
            <w:tcW w:w="3413" w:type="dxa"/>
            <w:shd w:val="clear" w:color="auto" w:fill="auto"/>
            <w:tcMar>
              <w:top w:w="15" w:type="dxa"/>
              <w:left w:w="15" w:type="dxa"/>
              <w:bottom w:w="0" w:type="dxa"/>
              <w:right w:w="15" w:type="dxa"/>
            </w:tcMar>
            <w:vAlign w:val="bottom"/>
            <w:hideMark/>
          </w:tcPr>
          <w:p w:rsidR="00F01BD3" w:rsidRPr="00F01BD3" w:rsidRDefault="00F01BD3" w:rsidP="00F01BD3">
            <w:pPr>
              <w:spacing w:after="0"/>
              <w:rPr>
                <w:rFonts w:eastAsia="Times New Roman" w:cs="Calibri"/>
                <w:color w:val="000000"/>
                <w:kern w:val="0"/>
                <w:sz w:val="18"/>
                <w:szCs w:val="18"/>
              </w:rPr>
            </w:pPr>
            <w:r w:rsidRPr="00F01BD3">
              <w:rPr>
                <w:rFonts w:eastAsia="Times New Roman" w:cs="Calibri"/>
                <w:color w:val="000000"/>
                <w:kern w:val="0"/>
                <w:sz w:val="18"/>
                <w:szCs w:val="18"/>
              </w:rPr>
              <w:t>Afghanistan Central Civil Registration Authority</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109</w:t>
            </w:r>
          </w:p>
        </w:tc>
        <w:tc>
          <w:tcPr>
            <w:tcW w:w="0" w:type="auto"/>
            <w:shd w:val="clear" w:color="auto" w:fill="auto"/>
            <w:noWrap/>
            <w:tcMar>
              <w:top w:w="15" w:type="dxa"/>
              <w:left w:w="15" w:type="dxa"/>
              <w:bottom w:w="0" w:type="dxa"/>
              <w:right w:w="15" w:type="dxa"/>
            </w:tcMar>
            <w:vAlign w:val="center"/>
            <w:hideMark/>
          </w:tcPr>
          <w:p w:rsidR="00F01BD3" w:rsidRPr="00F01BD3" w:rsidRDefault="00F01BD3"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92</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957</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1,429</w:t>
            </w:r>
          </w:p>
        </w:tc>
      </w:tr>
      <w:tr w:rsidR="00F01BD3" w:rsidRPr="00F01BD3" w:rsidTr="00B955A6">
        <w:trPr>
          <w:divId w:val="869489323"/>
          <w:trHeight w:val="354"/>
        </w:trPr>
        <w:tc>
          <w:tcPr>
            <w:tcW w:w="0" w:type="auto"/>
            <w:shd w:val="clear" w:color="auto" w:fill="auto"/>
            <w:noWrap/>
            <w:tcMar>
              <w:top w:w="15" w:type="dxa"/>
              <w:left w:w="15" w:type="dxa"/>
              <w:bottom w:w="0" w:type="dxa"/>
              <w:right w:w="15" w:type="dxa"/>
            </w:tcMar>
            <w:vAlign w:val="center"/>
            <w:hideMark/>
          </w:tcPr>
          <w:p w:rsidR="00F01BD3" w:rsidRPr="00F01BD3" w:rsidRDefault="0016688E" w:rsidP="00A63524">
            <w:pPr>
              <w:bidi/>
              <w:spacing w:after="0"/>
              <w:jc w:val="center"/>
              <w:rPr>
                <w:rFonts w:eastAsia="Times New Roman" w:cs="Calibri Light"/>
                <w:color w:val="000000"/>
                <w:kern w:val="0"/>
                <w:sz w:val="18"/>
                <w:szCs w:val="18"/>
              </w:rPr>
            </w:pPr>
            <w:r w:rsidRPr="00F868CF">
              <w:rPr>
                <w:rFonts w:eastAsia="Times New Roman" w:cs="Calibri Light"/>
                <w:color w:val="000000"/>
                <w:kern w:val="0"/>
                <w:sz w:val="18"/>
                <w:szCs w:val="18"/>
              </w:rPr>
              <w:t>6</w:t>
            </w:r>
          </w:p>
        </w:tc>
        <w:tc>
          <w:tcPr>
            <w:tcW w:w="3413" w:type="dxa"/>
            <w:shd w:val="clear" w:color="auto" w:fill="auto"/>
            <w:tcMar>
              <w:top w:w="15" w:type="dxa"/>
              <w:left w:w="15" w:type="dxa"/>
              <w:bottom w:w="0" w:type="dxa"/>
              <w:right w:w="15" w:type="dxa"/>
            </w:tcMar>
            <w:vAlign w:val="bottom"/>
            <w:hideMark/>
          </w:tcPr>
          <w:p w:rsidR="00F01BD3" w:rsidRPr="00F01BD3" w:rsidRDefault="00F01BD3" w:rsidP="00F01BD3">
            <w:pPr>
              <w:spacing w:after="0"/>
              <w:rPr>
                <w:rFonts w:eastAsia="Times New Roman" w:cs="Calibri"/>
                <w:color w:val="000000"/>
                <w:kern w:val="0"/>
                <w:sz w:val="18"/>
                <w:szCs w:val="18"/>
              </w:rPr>
            </w:pPr>
            <w:r w:rsidRPr="00F01BD3">
              <w:rPr>
                <w:rFonts w:eastAsia="Times New Roman" w:cs="Calibri"/>
                <w:color w:val="000000"/>
                <w:kern w:val="0"/>
                <w:sz w:val="18"/>
                <w:szCs w:val="18"/>
              </w:rPr>
              <w:t>Ministry of Public Works</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564</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0</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760</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1,049</w:t>
            </w:r>
          </w:p>
        </w:tc>
      </w:tr>
      <w:tr w:rsidR="00F01BD3" w:rsidRPr="00F01BD3" w:rsidTr="00B955A6">
        <w:trPr>
          <w:divId w:val="869489323"/>
          <w:trHeight w:val="309"/>
        </w:trPr>
        <w:tc>
          <w:tcPr>
            <w:tcW w:w="0" w:type="auto"/>
            <w:shd w:val="clear" w:color="auto" w:fill="auto"/>
            <w:noWrap/>
            <w:tcMar>
              <w:top w:w="15" w:type="dxa"/>
              <w:left w:w="15" w:type="dxa"/>
              <w:bottom w:w="0" w:type="dxa"/>
              <w:right w:w="15" w:type="dxa"/>
            </w:tcMar>
            <w:vAlign w:val="center"/>
            <w:hideMark/>
          </w:tcPr>
          <w:p w:rsidR="00F01BD3" w:rsidRPr="00F01BD3" w:rsidRDefault="0016688E" w:rsidP="00A63524">
            <w:pPr>
              <w:bidi/>
              <w:spacing w:after="0"/>
              <w:jc w:val="center"/>
              <w:rPr>
                <w:rFonts w:eastAsia="Times New Roman" w:cs="Calibri Light"/>
                <w:color w:val="000000"/>
                <w:kern w:val="0"/>
                <w:sz w:val="18"/>
                <w:szCs w:val="18"/>
              </w:rPr>
            </w:pPr>
            <w:r w:rsidRPr="00F868CF">
              <w:rPr>
                <w:rFonts w:eastAsia="Times New Roman" w:cs="Calibri Light"/>
                <w:color w:val="000000"/>
                <w:kern w:val="0"/>
                <w:sz w:val="18"/>
                <w:szCs w:val="18"/>
              </w:rPr>
              <w:t>7</w:t>
            </w:r>
          </w:p>
        </w:tc>
        <w:tc>
          <w:tcPr>
            <w:tcW w:w="3413" w:type="dxa"/>
            <w:shd w:val="clear" w:color="auto" w:fill="auto"/>
            <w:tcMar>
              <w:top w:w="15" w:type="dxa"/>
              <w:left w:w="15" w:type="dxa"/>
              <w:bottom w:w="0" w:type="dxa"/>
              <w:right w:w="15" w:type="dxa"/>
            </w:tcMar>
            <w:vAlign w:val="bottom"/>
            <w:hideMark/>
          </w:tcPr>
          <w:p w:rsidR="00F01BD3" w:rsidRPr="00F01BD3" w:rsidRDefault="00F01BD3" w:rsidP="00F01BD3">
            <w:pPr>
              <w:spacing w:after="0"/>
              <w:rPr>
                <w:rFonts w:eastAsia="Times New Roman" w:cs="Calibri"/>
                <w:color w:val="000000"/>
                <w:kern w:val="0"/>
                <w:sz w:val="18"/>
                <w:szCs w:val="18"/>
              </w:rPr>
            </w:pPr>
            <w:r w:rsidRPr="00F01BD3">
              <w:rPr>
                <w:rFonts w:eastAsia="Times New Roman" w:cs="Calibri"/>
                <w:color w:val="000000"/>
                <w:kern w:val="0"/>
                <w:sz w:val="18"/>
                <w:szCs w:val="18"/>
              </w:rPr>
              <w:t>Ministry of Energy and Water</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311</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329</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965</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980</w:t>
            </w:r>
          </w:p>
        </w:tc>
      </w:tr>
      <w:tr w:rsidR="00F01BD3" w:rsidRPr="00F01BD3" w:rsidTr="00B955A6">
        <w:trPr>
          <w:divId w:val="869489323"/>
          <w:trHeight w:val="265"/>
        </w:trPr>
        <w:tc>
          <w:tcPr>
            <w:tcW w:w="0" w:type="auto"/>
            <w:shd w:val="clear" w:color="auto" w:fill="auto"/>
            <w:noWrap/>
            <w:tcMar>
              <w:top w:w="15" w:type="dxa"/>
              <w:left w:w="15" w:type="dxa"/>
              <w:bottom w:w="0" w:type="dxa"/>
              <w:right w:w="15" w:type="dxa"/>
            </w:tcMar>
            <w:vAlign w:val="center"/>
            <w:hideMark/>
          </w:tcPr>
          <w:p w:rsidR="00F01BD3" w:rsidRPr="00F01BD3" w:rsidRDefault="0016688E" w:rsidP="00A63524">
            <w:pPr>
              <w:bidi/>
              <w:spacing w:after="0"/>
              <w:jc w:val="center"/>
              <w:rPr>
                <w:rFonts w:eastAsia="Times New Roman" w:cs="Calibri Light"/>
                <w:color w:val="000000"/>
                <w:kern w:val="0"/>
                <w:sz w:val="18"/>
                <w:szCs w:val="18"/>
              </w:rPr>
            </w:pPr>
            <w:r w:rsidRPr="00F868CF">
              <w:rPr>
                <w:rFonts w:eastAsia="Times New Roman" w:cs="Calibri Light"/>
                <w:color w:val="000000"/>
                <w:kern w:val="0"/>
                <w:sz w:val="18"/>
                <w:szCs w:val="18"/>
              </w:rPr>
              <w:t>8</w:t>
            </w:r>
          </w:p>
        </w:tc>
        <w:tc>
          <w:tcPr>
            <w:tcW w:w="3413" w:type="dxa"/>
            <w:shd w:val="clear" w:color="auto" w:fill="auto"/>
            <w:tcMar>
              <w:top w:w="15" w:type="dxa"/>
              <w:left w:w="15" w:type="dxa"/>
              <w:bottom w:w="0" w:type="dxa"/>
              <w:right w:w="15" w:type="dxa"/>
            </w:tcMar>
            <w:vAlign w:val="bottom"/>
            <w:hideMark/>
          </w:tcPr>
          <w:p w:rsidR="00F01BD3" w:rsidRPr="00F01BD3" w:rsidRDefault="00F01BD3" w:rsidP="00F01BD3">
            <w:pPr>
              <w:spacing w:after="0"/>
              <w:rPr>
                <w:rFonts w:eastAsia="Times New Roman" w:cs="Calibri"/>
                <w:color w:val="000000"/>
                <w:kern w:val="0"/>
                <w:sz w:val="18"/>
                <w:szCs w:val="18"/>
              </w:rPr>
            </w:pPr>
            <w:r w:rsidRPr="00F01BD3">
              <w:rPr>
                <w:rFonts w:eastAsia="Times New Roman" w:cs="Calibri"/>
                <w:color w:val="000000"/>
                <w:kern w:val="0"/>
                <w:sz w:val="18"/>
                <w:szCs w:val="18"/>
              </w:rPr>
              <w:t>Ministry of Finance</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75</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318</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470</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882</w:t>
            </w:r>
          </w:p>
        </w:tc>
      </w:tr>
      <w:tr w:rsidR="00F01BD3" w:rsidRPr="00F01BD3" w:rsidTr="00B955A6">
        <w:trPr>
          <w:divId w:val="869489323"/>
          <w:trHeight w:val="324"/>
        </w:trPr>
        <w:tc>
          <w:tcPr>
            <w:tcW w:w="0" w:type="auto"/>
            <w:shd w:val="clear" w:color="auto" w:fill="auto"/>
            <w:noWrap/>
            <w:tcMar>
              <w:top w:w="15" w:type="dxa"/>
              <w:left w:w="15" w:type="dxa"/>
              <w:bottom w:w="0" w:type="dxa"/>
              <w:right w:w="15" w:type="dxa"/>
            </w:tcMar>
            <w:vAlign w:val="center"/>
            <w:hideMark/>
          </w:tcPr>
          <w:p w:rsidR="00F01BD3" w:rsidRPr="00F01BD3" w:rsidRDefault="0016688E" w:rsidP="00A63524">
            <w:pPr>
              <w:bidi/>
              <w:spacing w:after="0"/>
              <w:jc w:val="center"/>
              <w:rPr>
                <w:rFonts w:eastAsia="Times New Roman" w:cs="Calibri Light"/>
                <w:color w:val="000000"/>
                <w:kern w:val="0"/>
                <w:sz w:val="18"/>
                <w:szCs w:val="18"/>
              </w:rPr>
            </w:pPr>
            <w:r w:rsidRPr="00F868CF">
              <w:rPr>
                <w:rFonts w:eastAsia="Times New Roman" w:cs="Calibri Light"/>
                <w:color w:val="000000"/>
                <w:kern w:val="0"/>
                <w:sz w:val="18"/>
                <w:szCs w:val="18"/>
              </w:rPr>
              <w:t>9</w:t>
            </w:r>
          </w:p>
        </w:tc>
        <w:tc>
          <w:tcPr>
            <w:tcW w:w="3413" w:type="dxa"/>
            <w:shd w:val="clear" w:color="auto" w:fill="auto"/>
            <w:tcMar>
              <w:top w:w="15" w:type="dxa"/>
              <w:left w:w="15" w:type="dxa"/>
              <w:bottom w:w="0" w:type="dxa"/>
              <w:right w:w="15" w:type="dxa"/>
            </w:tcMar>
            <w:vAlign w:val="bottom"/>
            <w:hideMark/>
          </w:tcPr>
          <w:p w:rsidR="00F01BD3" w:rsidRPr="00F01BD3" w:rsidRDefault="00F01BD3" w:rsidP="00F01BD3">
            <w:pPr>
              <w:spacing w:after="0"/>
              <w:rPr>
                <w:rFonts w:eastAsia="Times New Roman" w:cs="Calibri"/>
                <w:color w:val="000000"/>
                <w:kern w:val="0"/>
                <w:sz w:val="18"/>
                <w:szCs w:val="18"/>
              </w:rPr>
            </w:pPr>
            <w:r w:rsidRPr="00F01BD3">
              <w:rPr>
                <w:rFonts w:eastAsia="Times New Roman" w:cs="Calibri"/>
                <w:color w:val="000000"/>
                <w:kern w:val="0"/>
                <w:sz w:val="18"/>
                <w:szCs w:val="18"/>
              </w:rPr>
              <w:t>Ministry of labor and social affairs</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8</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400</w:t>
            </w:r>
          </w:p>
        </w:tc>
        <w:tc>
          <w:tcPr>
            <w:tcW w:w="0" w:type="auto"/>
            <w:shd w:val="clear" w:color="auto" w:fill="auto"/>
            <w:noWrap/>
            <w:tcMar>
              <w:top w:w="15" w:type="dxa"/>
              <w:left w:w="15" w:type="dxa"/>
              <w:bottom w:w="0" w:type="dxa"/>
              <w:right w:w="15" w:type="dxa"/>
            </w:tcMar>
            <w:vAlign w:val="center"/>
            <w:hideMark/>
          </w:tcPr>
          <w:p w:rsidR="0016688E" w:rsidRPr="00F01BD3" w:rsidRDefault="0016688E" w:rsidP="0016688E">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685</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818</w:t>
            </w:r>
          </w:p>
        </w:tc>
      </w:tr>
      <w:tr w:rsidR="00F01BD3" w:rsidRPr="00F01BD3" w:rsidTr="00B955A6">
        <w:trPr>
          <w:divId w:val="869489323"/>
          <w:trHeight w:val="472"/>
        </w:trPr>
        <w:tc>
          <w:tcPr>
            <w:tcW w:w="0" w:type="auto"/>
            <w:shd w:val="clear" w:color="auto" w:fill="auto"/>
            <w:noWrap/>
            <w:tcMar>
              <w:top w:w="15" w:type="dxa"/>
              <w:left w:w="15" w:type="dxa"/>
              <w:bottom w:w="0" w:type="dxa"/>
              <w:right w:w="15" w:type="dxa"/>
            </w:tcMar>
            <w:vAlign w:val="center"/>
            <w:hideMark/>
          </w:tcPr>
          <w:p w:rsidR="00F01BD3" w:rsidRPr="00F01BD3" w:rsidRDefault="0016688E" w:rsidP="00A63524">
            <w:pPr>
              <w:bidi/>
              <w:spacing w:after="0"/>
              <w:jc w:val="center"/>
              <w:rPr>
                <w:rFonts w:eastAsia="Times New Roman" w:cs="Calibri Light"/>
                <w:color w:val="000000"/>
                <w:kern w:val="0"/>
                <w:sz w:val="18"/>
                <w:szCs w:val="18"/>
              </w:rPr>
            </w:pPr>
            <w:r w:rsidRPr="00F868CF">
              <w:rPr>
                <w:rFonts w:eastAsia="Times New Roman" w:cs="Calibri Light"/>
                <w:color w:val="000000"/>
                <w:kern w:val="0"/>
                <w:sz w:val="18"/>
                <w:szCs w:val="18"/>
              </w:rPr>
              <w:t>10</w:t>
            </w:r>
          </w:p>
        </w:tc>
        <w:tc>
          <w:tcPr>
            <w:tcW w:w="3413" w:type="dxa"/>
            <w:shd w:val="clear" w:color="auto" w:fill="auto"/>
            <w:tcMar>
              <w:top w:w="15" w:type="dxa"/>
              <w:left w:w="15" w:type="dxa"/>
              <w:bottom w:w="0" w:type="dxa"/>
              <w:right w:w="15" w:type="dxa"/>
            </w:tcMar>
            <w:vAlign w:val="bottom"/>
            <w:hideMark/>
          </w:tcPr>
          <w:p w:rsidR="00F01BD3" w:rsidRPr="00F01BD3" w:rsidRDefault="00F01BD3" w:rsidP="00F01BD3">
            <w:pPr>
              <w:spacing w:after="0"/>
              <w:rPr>
                <w:rFonts w:eastAsia="Times New Roman" w:cs="Calibri"/>
                <w:color w:val="000000"/>
                <w:kern w:val="0"/>
                <w:sz w:val="18"/>
                <w:szCs w:val="18"/>
              </w:rPr>
            </w:pPr>
            <w:r w:rsidRPr="00F01BD3">
              <w:rPr>
                <w:rFonts w:eastAsia="Times New Roman" w:cs="Calibri"/>
                <w:color w:val="000000"/>
                <w:kern w:val="0"/>
                <w:sz w:val="18"/>
                <w:szCs w:val="18"/>
              </w:rPr>
              <w:t>Ministry of Education</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16688E">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3,472</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3,473</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F01BD3">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2,990</w:t>
            </w:r>
          </w:p>
        </w:tc>
        <w:tc>
          <w:tcPr>
            <w:tcW w:w="0" w:type="auto"/>
            <w:shd w:val="clear" w:color="auto" w:fill="auto"/>
            <w:noWrap/>
            <w:tcMar>
              <w:top w:w="15" w:type="dxa"/>
              <w:left w:w="15" w:type="dxa"/>
              <w:bottom w:w="0" w:type="dxa"/>
              <w:right w:w="15" w:type="dxa"/>
            </w:tcMar>
            <w:vAlign w:val="center"/>
            <w:hideMark/>
          </w:tcPr>
          <w:p w:rsidR="00F01BD3" w:rsidRPr="00F01BD3" w:rsidRDefault="0016688E" w:rsidP="0016688E">
            <w:pPr>
              <w:bidi/>
              <w:spacing w:after="0"/>
              <w:rPr>
                <w:rFonts w:eastAsia="Times New Roman" w:cs="Calibri Light"/>
                <w:color w:val="000000"/>
                <w:kern w:val="0"/>
                <w:sz w:val="18"/>
                <w:szCs w:val="18"/>
              </w:rPr>
            </w:pPr>
            <w:r w:rsidRPr="00F868CF">
              <w:rPr>
                <w:rFonts w:eastAsia="Times New Roman" w:cs="Calibri Light"/>
                <w:color w:val="000000"/>
                <w:kern w:val="0"/>
                <w:sz w:val="18"/>
                <w:szCs w:val="18"/>
              </w:rPr>
              <w:t>800</w:t>
            </w:r>
          </w:p>
        </w:tc>
      </w:tr>
    </w:tbl>
    <w:p w:rsidR="0055014A" w:rsidRPr="005A49D3" w:rsidRDefault="0055014A" w:rsidP="0055014A">
      <w:pPr>
        <w:rPr>
          <w:szCs w:val="22"/>
        </w:rPr>
      </w:pPr>
    </w:p>
    <w:p w:rsidR="0055014A" w:rsidRDefault="0055014A" w:rsidP="0055014A">
      <w:pPr>
        <w:spacing w:line="0" w:lineRule="atLeast"/>
        <w:rPr>
          <w:b/>
          <w:bCs/>
          <w:szCs w:val="22"/>
        </w:rPr>
      </w:pPr>
    </w:p>
    <w:p w:rsidR="00F868CF" w:rsidRDefault="00F868CF" w:rsidP="0055014A">
      <w:pPr>
        <w:spacing w:line="0" w:lineRule="atLeast"/>
        <w:rPr>
          <w:b/>
          <w:bCs/>
          <w:szCs w:val="22"/>
        </w:rPr>
      </w:pPr>
    </w:p>
    <w:p w:rsidR="0055014A" w:rsidRPr="00A63524" w:rsidRDefault="0055014A" w:rsidP="00A63524">
      <w:pPr>
        <w:pStyle w:val="Heading1"/>
      </w:pPr>
      <w:bookmarkStart w:id="185" w:name="_Toc535744328"/>
      <w:bookmarkStart w:id="186" w:name="_Toc535750257"/>
      <w:r w:rsidRPr="00A63524">
        <w:lastRenderedPageBreak/>
        <w:t>Fiscal Operations in the Provinces</w:t>
      </w:r>
      <w:bookmarkEnd w:id="185"/>
      <w:bookmarkEnd w:id="186"/>
    </w:p>
    <w:p w:rsidR="0055014A" w:rsidRPr="00A63524" w:rsidRDefault="0055014A" w:rsidP="00A63524">
      <w:pPr>
        <w:pStyle w:val="Heading2"/>
        <w:rPr>
          <w:rFonts w:eastAsia="Arial"/>
        </w:rPr>
      </w:pPr>
      <w:bookmarkStart w:id="187" w:name="_Toc535744329"/>
      <w:bookmarkStart w:id="188" w:name="_Toc535750258"/>
      <w:r w:rsidRPr="00A63524">
        <w:rPr>
          <w:rFonts w:eastAsia="Arial"/>
        </w:rPr>
        <w:t>Overview</w:t>
      </w:r>
      <w:bookmarkEnd w:id="187"/>
      <w:bookmarkEnd w:id="188"/>
    </w:p>
    <w:p w:rsidR="0055014A" w:rsidRPr="00F868CF" w:rsidRDefault="0055014A" w:rsidP="00F868CF">
      <w:pPr>
        <w:spacing w:line="276" w:lineRule="auto"/>
        <w:jc w:val="both"/>
        <w:rPr>
          <w:szCs w:val="22"/>
          <w:lang w:bidi="ps-AF"/>
        </w:rPr>
      </w:pPr>
      <w:r w:rsidRPr="00F868CF">
        <w:rPr>
          <w:szCs w:val="22"/>
          <w:lang w:bidi="ps-AF"/>
        </w:rPr>
        <w:t>This section sets out the allocation of national resources by province. The equitable and effective distribution of resources across the country based on the needs of the people and the greatest benefit to the country is a central tenant of the Government’s self-reliance agenda. The road to peace and stability needs to be paved by a clear commitment to providing all Afghans with basic services and national infrastructure.</w:t>
      </w:r>
    </w:p>
    <w:p w:rsidR="0055014A" w:rsidRPr="00F868CF" w:rsidRDefault="0055014A" w:rsidP="00F868CF">
      <w:pPr>
        <w:spacing w:line="276" w:lineRule="auto"/>
        <w:jc w:val="both"/>
        <w:rPr>
          <w:szCs w:val="22"/>
          <w:lang w:bidi="ps-AF"/>
        </w:rPr>
      </w:pPr>
      <w:r w:rsidRPr="00F868CF">
        <w:rPr>
          <w:szCs w:val="22"/>
          <w:lang w:bidi="ps-AF"/>
        </w:rPr>
        <w:t>To increase accountability and transparency the Government is publishing detailed formation about budget allocations to provinces. This statement is presented in two parts:</w:t>
      </w:r>
    </w:p>
    <w:p w:rsidR="0055014A" w:rsidRPr="00F868CF" w:rsidRDefault="0055014A" w:rsidP="00F868CF">
      <w:pPr>
        <w:pStyle w:val="ListParagraph"/>
        <w:numPr>
          <w:ilvl w:val="0"/>
          <w:numId w:val="40"/>
        </w:numPr>
        <w:spacing w:line="276" w:lineRule="auto"/>
        <w:jc w:val="both"/>
        <w:rPr>
          <w:szCs w:val="22"/>
          <w:lang w:bidi="ps-AF"/>
        </w:rPr>
      </w:pPr>
      <w:r w:rsidRPr="00F868CF">
        <w:rPr>
          <w:szCs w:val="22"/>
          <w:lang w:bidi="ps-AF"/>
        </w:rPr>
        <w:t>Expenditure by Province – this section presents Government expenditure by province for the budget year 1394 till FY 1397.</w:t>
      </w:r>
    </w:p>
    <w:p w:rsidR="0055014A" w:rsidRPr="00F868CF" w:rsidRDefault="0055014A" w:rsidP="00F868CF">
      <w:pPr>
        <w:pStyle w:val="ListParagraph"/>
        <w:numPr>
          <w:ilvl w:val="0"/>
          <w:numId w:val="40"/>
        </w:numPr>
        <w:spacing w:line="276" w:lineRule="auto"/>
        <w:jc w:val="both"/>
        <w:rPr>
          <w:szCs w:val="22"/>
          <w:lang w:bidi="ps-AF"/>
        </w:rPr>
      </w:pPr>
      <w:r w:rsidRPr="00F868CF">
        <w:rPr>
          <w:szCs w:val="22"/>
          <w:lang w:bidi="ps-AF"/>
        </w:rPr>
        <w:t>Citizen’s Charter – this section presents Citizen’s Charter activities including estimate of needed resources for FYs (1396, 1397, 1398, 1399, and 1400).</w:t>
      </w:r>
    </w:p>
    <w:p w:rsidR="0055014A" w:rsidRPr="005A49D3" w:rsidRDefault="0055014A" w:rsidP="0055014A">
      <w:pPr>
        <w:tabs>
          <w:tab w:val="left" w:pos="720"/>
        </w:tabs>
        <w:spacing w:line="259" w:lineRule="auto"/>
        <w:ind w:right="366"/>
        <w:rPr>
          <w:rFonts w:asciiTheme="minorHAnsi" w:eastAsia="Arial" w:hAnsiTheme="minorHAnsi" w:cstheme="minorHAnsi"/>
          <w:szCs w:val="22"/>
        </w:rPr>
      </w:pPr>
    </w:p>
    <w:p w:rsidR="0055014A" w:rsidRPr="005A49D3" w:rsidRDefault="00561060" w:rsidP="00A63524">
      <w:pPr>
        <w:pStyle w:val="Heading2"/>
        <w:rPr>
          <w:rFonts w:eastAsia="Garamond"/>
        </w:rPr>
      </w:pPr>
      <w:bookmarkStart w:id="189" w:name="_Toc535744330"/>
      <w:bookmarkStart w:id="190" w:name="_Toc535750259"/>
      <w:r w:rsidRPr="005A49D3">
        <w:rPr>
          <w:rFonts w:eastAsia="Garamond"/>
        </w:rPr>
        <w:t xml:space="preserve">Government’s Expenditure from </w:t>
      </w:r>
      <w:r w:rsidR="008E01DF" w:rsidRPr="005A49D3">
        <w:rPr>
          <w:rFonts w:eastAsia="Garamond"/>
        </w:rPr>
        <w:t xml:space="preserve">the year </w:t>
      </w:r>
      <w:r w:rsidRPr="005A49D3">
        <w:rPr>
          <w:rFonts w:eastAsia="Garamond"/>
        </w:rPr>
        <w:t>1394-1397 on Provincial Level</w:t>
      </w:r>
      <w:bookmarkEnd w:id="189"/>
      <w:bookmarkEnd w:id="190"/>
      <w:r w:rsidRPr="005A49D3">
        <w:rPr>
          <w:rFonts w:eastAsia="Garamond"/>
        </w:rPr>
        <w:t xml:space="preserve"> </w:t>
      </w:r>
    </w:p>
    <w:p w:rsidR="008E01DF" w:rsidRPr="005A49D3" w:rsidRDefault="008E01DF" w:rsidP="00F868CF">
      <w:pPr>
        <w:spacing w:line="276" w:lineRule="auto"/>
        <w:jc w:val="both"/>
        <w:rPr>
          <w:szCs w:val="22"/>
          <w:lang w:bidi="ps-AF"/>
        </w:rPr>
      </w:pPr>
      <w:r w:rsidRPr="005A49D3">
        <w:rPr>
          <w:szCs w:val="22"/>
          <w:lang w:bidi="ps-AF"/>
        </w:rPr>
        <w:t>Government manages and follows up the provincial expenditure through Afghanistan’s Financial Management Information System (AFMIS), that where the money comes from and where and how it is spent.</w:t>
      </w:r>
    </w:p>
    <w:p w:rsidR="008E01DF" w:rsidRPr="00F868CF" w:rsidRDefault="008E01DF" w:rsidP="00F868CF">
      <w:pPr>
        <w:spacing w:line="276" w:lineRule="auto"/>
        <w:jc w:val="both"/>
        <w:rPr>
          <w:szCs w:val="22"/>
          <w:lang w:bidi="ps-AF"/>
        </w:rPr>
      </w:pPr>
      <w:r w:rsidRPr="00F868CF">
        <w:rPr>
          <w:szCs w:val="22"/>
          <w:lang w:bidi="ps-AF"/>
        </w:rPr>
        <w:t>In total</w:t>
      </w:r>
      <w:r w:rsidR="00357BCA" w:rsidRPr="00F868CF">
        <w:rPr>
          <w:szCs w:val="22"/>
          <w:lang w:bidi="ps-AF"/>
        </w:rPr>
        <w:t>,</w:t>
      </w:r>
      <w:r w:rsidRPr="00F868CF">
        <w:rPr>
          <w:szCs w:val="22"/>
          <w:lang w:bidi="ps-AF"/>
        </w:rPr>
        <w:t xml:space="preserve"> 55% of government’s expenditure is allocated to pro</w:t>
      </w:r>
      <w:r w:rsidR="00357BCA" w:rsidRPr="00F868CF">
        <w:rPr>
          <w:szCs w:val="22"/>
          <w:lang w:bidi="ps-AF"/>
        </w:rPr>
        <w:t xml:space="preserve">vinces and the remaining 45% expenditure is spent by the central ministries and the budget units that can’t be attributed to a specific ministry from geographical perspective and governmental goals. This </w:t>
      </w:r>
      <w:r w:rsidR="00931B9C" w:rsidRPr="00F868CF">
        <w:rPr>
          <w:szCs w:val="22"/>
          <w:lang w:bidi="ps-AF"/>
        </w:rPr>
        <w:t>part</w:t>
      </w:r>
      <w:r w:rsidR="00357BCA" w:rsidRPr="00F868CF">
        <w:rPr>
          <w:szCs w:val="22"/>
          <w:lang w:bidi="ps-AF"/>
        </w:rPr>
        <w:t xml:space="preserve"> of </w:t>
      </w:r>
      <w:r w:rsidR="00931B9C" w:rsidRPr="00F868CF">
        <w:rPr>
          <w:szCs w:val="22"/>
          <w:lang w:bidi="ps-AF"/>
        </w:rPr>
        <w:t xml:space="preserve">the </w:t>
      </w:r>
      <w:r w:rsidR="00357BCA" w:rsidRPr="00F868CF">
        <w:rPr>
          <w:szCs w:val="22"/>
          <w:lang w:bidi="ps-AF"/>
        </w:rPr>
        <w:t xml:space="preserve">expenditure includes </w:t>
      </w:r>
      <w:r w:rsidR="00931B9C" w:rsidRPr="00F868CF">
        <w:rPr>
          <w:szCs w:val="22"/>
          <w:lang w:bidi="ps-AF"/>
        </w:rPr>
        <w:t xml:space="preserve">equipment, operating expenditure and also national investments. Given the high level of urbanization in Afghanistan in </w:t>
      </w:r>
      <w:r w:rsidR="00F868CF" w:rsidRPr="00F868CF">
        <w:rPr>
          <w:szCs w:val="22"/>
          <w:lang w:bidi="ps-AF"/>
        </w:rPr>
        <w:t>recent</w:t>
      </w:r>
      <w:r w:rsidR="00931B9C" w:rsidRPr="00F868CF">
        <w:rPr>
          <w:szCs w:val="22"/>
          <w:lang w:bidi="ps-AF"/>
        </w:rPr>
        <w:t xml:space="preserve"> years </w:t>
      </w:r>
      <w:r w:rsidR="00F74FA1" w:rsidRPr="00F868CF">
        <w:rPr>
          <w:szCs w:val="22"/>
          <w:lang w:bidi="ps-AF"/>
        </w:rPr>
        <w:t>particularly</w:t>
      </w:r>
      <w:r w:rsidR="00931B9C" w:rsidRPr="00F868CF">
        <w:rPr>
          <w:szCs w:val="22"/>
          <w:lang w:bidi="ps-AF"/>
        </w:rPr>
        <w:t xml:space="preserve"> the growth of the population of Kabul and oth</w:t>
      </w:r>
      <w:r w:rsidR="00F74FA1" w:rsidRPr="00F868CF">
        <w:rPr>
          <w:szCs w:val="22"/>
          <w:lang w:bidi="ps-AF"/>
        </w:rPr>
        <w:t>er urban</w:t>
      </w:r>
      <w:r w:rsidR="000C5C13" w:rsidRPr="00F868CF">
        <w:rPr>
          <w:szCs w:val="22"/>
          <w:lang w:bidi="ps-AF"/>
        </w:rPr>
        <w:t xml:space="preserve"> centers, shows</w:t>
      </w:r>
      <w:r w:rsidR="00F74FA1" w:rsidRPr="00F868CF">
        <w:rPr>
          <w:szCs w:val="22"/>
          <w:lang w:bidi="ps-AF"/>
        </w:rPr>
        <w:t xml:space="preserve"> the increase in sustainable population growth rate relative to the prov</w:t>
      </w:r>
      <w:r w:rsidR="000C5C13" w:rsidRPr="00F868CF">
        <w:rPr>
          <w:szCs w:val="22"/>
          <w:lang w:bidi="ps-AF"/>
        </w:rPr>
        <w:t>incial expenditure,</w:t>
      </w:r>
      <w:r w:rsidR="00F74FA1" w:rsidRPr="00F868CF">
        <w:rPr>
          <w:szCs w:val="22"/>
          <w:lang w:bidi="ps-AF"/>
        </w:rPr>
        <w:t xml:space="preserve"> that by increasing budget over the last 8 years </w:t>
      </w:r>
      <w:r w:rsidR="000C5C13" w:rsidRPr="00F868CF">
        <w:rPr>
          <w:szCs w:val="22"/>
          <w:lang w:bidi="ps-AF"/>
        </w:rPr>
        <w:t xml:space="preserve">the indirect allocation of resources to the center is not compatible. </w:t>
      </w:r>
      <w:r w:rsidR="007A5FFB" w:rsidRPr="00F868CF">
        <w:rPr>
          <w:szCs w:val="22"/>
          <w:lang w:bidi="ps-AF"/>
        </w:rPr>
        <w:t xml:space="preserve">Kabul’s population has increased from 3.6 million people in the year 1389 to 4.8 million people in the year 1397. </w:t>
      </w:r>
      <w:r w:rsidR="00985176" w:rsidRPr="00F868CF">
        <w:rPr>
          <w:szCs w:val="22"/>
          <w:lang w:bidi="ps-AF"/>
        </w:rPr>
        <w:t xml:space="preserve">Meanwhile per capita cost in Kabul remained relatively sustainable where as it has rapidly increased in other provinces. During this course, Kabul from 10 ministries with the most per capita </w:t>
      </w:r>
      <w:r w:rsidR="00F868CF" w:rsidRPr="00F868CF">
        <w:rPr>
          <w:szCs w:val="22"/>
          <w:lang w:bidi="ps-AF"/>
        </w:rPr>
        <w:t>cost</w:t>
      </w:r>
      <w:r w:rsidR="00985176" w:rsidRPr="00F868CF">
        <w:rPr>
          <w:szCs w:val="22"/>
          <w:lang w:bidi="ps-AF"/>
        </w:rPr>
        <w:t xml:space="preserve"> has fallen to the 29th province. </w:t>
      </w:r>
    </w:p>
    <w:p w:rsidR="001225F0" w:rsidRPr="001225F0" w:rsidRDefault="001225F0" w:rsidP="001225F0">
      <w:pPr>
        <w:pStyle w:val="Caption"/>
        <w:keepNext/>
        <w:bidi w:val="0"/>
        <w:jc w:val="left"/>
        <w:rPr>
          <w:rFonts w:ascii="Garamond" w:hAnsi="Garamond"/>
          <w:sz w:val="22"/>
          <w:szCs w:val="22"/>
        </w:rPr>
      </w:pPr>
      <w:bookmarkStart w:id="191" w:name="_Toc535750275"/>
      <w:r w:rsidRPr="001225F0">
        <w:rPr>
          <w:rFonts w:ascii="Garamond" w:hAnsi="Garamond"/>
          <w:sz w:val="22"/>
          <w:szCs w:val="22"/>
        </w:rPr>
        <w:t>Table</w:t>
      </w:r>
      <w:r w:rsidRPr="001225F0">
        <w:rPr>
          <w:rFonts w:ascii="Garamond" w:hAnsi="Garamond"/>
          <w:sz w:val="22"/>
          <w:szCs w:val="22"/>
          <w:rtl/>
        </w:rPr>
        <w:t xml:space="preserve"> </w:t>
      </w:r>
      <w:r w:rsidRPr="001225F0">
        <w:rPr>
          <w:rFonts w:ascii="Garamond" w:hAnsi="Garamond"/>
          <w:sz w:val="22"/>
          <w:szCs w:val="22"/>
          <w:rtl/>
        </w:rPr>
        <w:fldChar w:fldCharType="begin"/>
      </w:r>
      <w:r w:rsidRPr="001225F0">
        <w:rPr>
          <w:rFonts w:ascii="Garamond" w:hAnsi="Garamond"/>
          <w:sz w:val="22"/>
          <w:szCs w:val="22"/>
          <w:rtl/>
        </w:rPr>
        <w:instrText xml:space="preserve"> </w:instrText>
      </w:r>
      <w:r w:rsidRPr="001225F0">
        <w:rPr>
          <w:rFonts w:ascii="Garamond" w:hAnsi="Garamond"/>
          <w:sz w:val="22"/>
          <w:szCs w:val="22"/>
        </w:rPr>
        <w:instrText>SEQ</w:instrText>
      </w:r>
      <w:r w:rsidRPr="001225F0">
        <w:rPr>
          <w:rFonts w:ascii="Garamond" w:hAnsi="Garamond"/>
          <w:sz w:val="22"/>
          <w:szCs w:val="22"/>
          <w:rtl/>
        </w:rPr>
        <w:instrText xml:space="preserve"> </w:instrText>
      </w:r>
      <w:r w:rsidRPr="001225F0">
        <w:rPr>
          <w:rFonts w:ascii="Garamond" w:hAnsi="Garamond"/>
          <w:sz w:val="22"/>
          <w:szCs w:val="22"/>
        </w:rPr>
        <w:instrText>Table \* ARABIC</w:instrText>
      </w:r>
      <w:r w:rsidRPr="001225F0">
        <w:rPr>
          <w:rFonts w:ascii="Garamond" w:hAnsi="Garamond"/>
          <w:sz w:val="22"/>
          <w:szCs w:val="22"/>
          <w:rtl/>
        </w:rPr>
        <w:instrText xml:space="preserve"> </w:instrText>
      </w:r>
      <w:r w:rsidRPr="001225F0">
        <w:rPr>
          <w:rFonts w:ascii="Garamond" w:hAnsi="Garamond"/>
          <w:sz w:val="22"/>
          <w:szCs w:val="22"/>
          <w:rtl/>
        </w:rPr>
        <w:fldChar w:fldCharType="separate"/>
      </w:r>
      <w:r w:rsidR="00862183">
        <w:rPr>
          <w:rFonts w:ascii="Garamond" w:hAnsi="Garamond"/>
          <w:noProof/>
          <w:sz w:val="22"/>
          <w:szCs w:val="22"/>
          <w:rtl/>
        </w:rPr>
        <w:t>14</w:t>
      </w:r>
      <w:r w:rsidRPr="001225F0">
        <w:rPr>
          <w:rFonts w:ascii="Garamond" w:hAnsi="Garamond"/>
          <w:sz w:val="22"/>
          <w:szCs w:val="22"/>
          <w:rtl/>
        </w:rPr>
        <w:fldChar w:fldCharType="end"/>
      </w:r>
      <w:r w:rsidRPr="001225F0">
        <w:rPr>
          <w:rFonts w:ascii="Garamond" w:hAnsi="Garamond"/>
          <w:sz w:val="22"/>
          <w:szCs w:val="22"/>
        </w:rPr>
        <w:t>Government’s Expenditure according to Provinces</w:t>
      </w:r>
      <w:bookmarkEnd w:id="191"/>
    </w:p>
    <w:tbl>
      <w:tblPr>
        <w:tblStyle w:val="LightShading-Accent1"/>
        <w:tblW w:w="8126" w:type="dxa"/>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1460"/>
        <w:gridCol w:w="1666"/>
        <w:gridCol w:w="1667"/>
        <w:gridCol w:w="1666"/>
        <w:gridCol w:w="1667"/>
      </w:tblGrid>
      <w:tr w:rsidR="00F868CF" w:rsidRPr="00F868CF" w:rsidTr="00F868CF">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460" w:type="dxa"/>
            <w:tcBorders>
              <w:top w:val="none" w:sz="0" w:space="0" w:color="auto"/>
              <w:left w:val="none" w:sz="0" w:space="0" w:color="auto"/>
              <w:bottom w:val="none" w:sz="0" w:space="0" w:color="auto"/>
              <w:right w:val="none" w:sz="0" w:space="0" w:color="auto"/>
            </w:tcBorders>
            <w:shd w:val="clear" w:color="auto" w:fill="C6D9F1"/>
            <w:noWrap/>
            <w:vAlign w:val="center"/>
            <w:hideMark/>
          </w:tcPr>
          <w:p w:rsidR="00985176" w:rsidRPr="00F868CF" w:rsidRDefault="008A5890" w:rsidP="008A5890">
            <w:pPr>
              <w:numPr>
                <w:ilvl w:val="0"/>
                <w:numId w:val="0"/>
              </w:numPr>
              <w:jc w:val="center"/>
              <w:rPr>
                <w:rFonts w:eastAsia="Times New Roman"/>
                <w:color w:val="auto"/>
                <w:sz w:val="18"/>
                <w:szCs w:val="18"/>
              </w:rPr>
            </w:pPr>
            <w:r w:rsidRPr="00F868CF">
              <w:rPr>
                <w:rFonts w:eastAsia="Times New Roman"/>
                <w:color w:val="auto"/>
                <w:sz w:val="18"/>
                <w:szCs w:val="18"/>
              </w:rPr>
              <w:t>Provinces</w:t>
            </w:r>
          </w:p>
        </w:tc>
        <w:tc>
          <w:tcPr>
            <w:tcW w:w="1666" w:type="dxa"/>
            <w:tcBorders>
              <w:top w:val="none" w:sz="0" w:space="0" w:color="auto"/>
              <w:left w:val="none" w:sz="0" w:space="0" w:color="auto"/>
              <w:bottom w:val="none" w:sz="0" w:space="0" w:color="auto"/>
              <w:right w:val="none" w:sz="0" w:space="0" w:color="auto"/>
            </w:tcBorders>
            <w:shd w:val="clear" w:color="auto" w:fill="C6D9F1"/>
            <w:noWrap/>
            <w:vAlign w:val="center"/>
            <w:hideMark/>
          </w:tcPr>
          <w:p w:rsidR="00985176" w:rsidRPr="00F868CF" w:rsidRDefault="00985176" w:rsidP="008A5890">
            <w:pPr>
              <w:numPr>
                <w:ilvl w:val="0"/>
                <w:numId w:val="0"/>
              </w:num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1394</w:t>
            </w:r>
          </w:p>
        </w:tc>
        <w:tc>
          <w:tcPr>
            <w:tcW w:w="1667" w:type="dxa"/>
            <w:tcBorders>
              <w:top w:val="none" w:sz="0" w:space="0" w:color="auto"/>
              <w:left w:val="none" w:sz="0" w:space="0" w:color="auto"/>
              <w:bottom w:val="none" w:sz="0" w:space="0" w:color="auto"/>
              <w:right w:val="none" w:sz="0" w:space="0" w:color="auto"/>
            </w:tcBorders>
            <w:shd w:val="clear" w:color="auto" w:fill="C6D9F1"/>
            <w:noWrap/>
            <w:vAlign w:val="center"/>
            <w:hideMark/>
          </w:tcPr>
          <w:p w:rsidR="00985176" w:rsidRPr="00F868CF" w:rsidRDefault="00985176" w:rsidP="008A5890">
            <w:pPr>
              <w:numPr>
                <w:ilvl w:val="0"/>
                <w:numId w:val="0"/>
              </w:num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1395</w:t>
            </w:r>
          </w:p>
        </w:tc>
        <w:tc>
          <w:tcPr>
            <w:tcW w:w="1666" w:type="dxa"/>
            <w:tcBorders>
              <w:top w:val="none" w:sz="0" w:space="0" w:color="auto"/>
              <w:left w:val="none" w:sz="0" w:space="0" w:color="auto"/>
              <w:bottom w:val="none" w:sz="0" w:space="0" w:color="auto"/>
              <w:right w:val="none" w:sz="0" w:space="0" w:color="auto"/>
            </w:tcBorders>
            <w:shd w:val="clear" w:color="auto" w:fill="C6D9F1"/>
            <w:noWrap/>
            <w:vAlign w:val="center"/>
            <w:hideMark/>
          </w:tcPr>
          <w:p w:rsidR="00985176" w:rsidRPr="00F868CF" w:rsidRDefault="00985176" w:rsidP="008A5890">
            <w:pPr>
              <w:numPr>
                <w:ilvl w:val="0"/>
                <w:numId w:val="0"/>
              </w:num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1396</w:t>
            </w:r>
          </w:p>
        </w:tc>
        <w:tc>
          <w:tcPr>
            <w:tcW w:w="1667" w:type="dxa"/>
            <w:tcBorders>
              <w:top w:val="none" w:sz="0" w:space="0" w:color="auto"/>
              <w:left w:val="none" w:sz="0" w:space="0" w:color="auto"/>
              <w:bottom w:val="none" w:sz="0" w:space="0" w:color="auto"/>
              <w:right w:val="none" w:sz="0" w:space="0" w:color="auto"/>
            </w:tcBorders>
            <w:shd w:val="clear" w:color="auto" w:fill="C6D9F1"/>
            <w:noWrap/>
            <w:vAlign w:val="center"/>
            <w:hideMark/>
          </w:tcPr>
          <w:p w:rsidR="00985176" w:rsidRPr="00F868CF" w:rsidRDefault="00985176" w:rsidP="008A5890">
            <w:pPr>
              <w:numPr>
                <w:ilvl w:val="0"/>
                <w:numId w:val="0"/>
              </w:num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1397</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85176"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tl/>
              </w:rPr>
              <w:t xml:space="preserve"> </w:t>
            </w:r>
            <w:r w:rsidR="009C264A" w:rsidRPr="00F868CF">
              <w:rPr>
                <w:rFonts w:eastAsia="Times New Roman"/>
                <w:b w:val="0"/>
                <w:bCs w:val="0"/>
                <w:color w:val="auto"/>
                <w:sz w:val="18"/>
                <w:szCs w:val="18"/>
              </w:rPr>
              <w:t>01 Kabul</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20,132</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22,314</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25,334</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18,427</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06 Nangarhar</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15,657</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17,188</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17,001</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17,487</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27 Kandahar</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14,444</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15,417</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15,221</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16,059</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85176"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tl/>
              </w:rPr>
              <w:t>2</w:t>
            </w:r>
            <w:r w:rsidR="009C264A" w:rsidRPr="00F868CF">
              <w:rPr>
                <w:rFonts w:eastAsia="Times New Roman"/>
                <w:b w:val="0"/>
                <w:bCs w:val="0"/>
                <w:color w:val="auto"/>
                <w:sz w:val="18"/>
                <w:szCs w:val="18"/>
              </w:rPr>
              <w:t>1 Balkh</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15,172</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15,584</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15,994</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16,724</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32 Herat</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14,329</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14,991</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14,859</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18,960</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13 Paktia</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11,864</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11,710</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11,607</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11,909</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tl/>
              </w:rPr>
              <w:t>30</w:t>
            </w:r>
            <w:r w:rsidRPr="00F868CF">
              <w:rPr>
                <w:rFonts w:eastAsia="Times New Roman"/>
                <w:b w:val="0"/>
                <w:bCs w:val="0"/>
                <w:color w:val="auto"/>
                <w:sz w:val="18"/>
                <w:szCs w:val="18"/>
              </w:rPr>
              <w:t xml:space="preserve"> Helmand</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13,376</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12,691</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10,573</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9,842</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tl/>
              </w:rPr>
              <w:lastRenderedPageBreak/>
              <w:t>17</w:t>
            </w:r>
            <w:r w:rsidRPr="00F868CF">
              <w:rPr>
                <w:rFonts w:eastAsia="Times New Roman"/>
                <w:b w:val="0"/>
                <w:bCs w:val="0"/>
                <w:color w:val="auto"/>
                <w:sz w:val="18"/>
                <w:szCs w:val="18"/>
              </w:rPr>
              <w:t xml:space="preserve"> Badakhshan</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5,904</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7,732</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6,922</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7,611</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tl/>
              </w:rPr>
              <w:t>1</w:t>
            </w:r>
            <w:r w:rsidRPr="00F868CF">
              <w:rPr>
                <w:rFonts w:eastAsia="Times New Roman"/>
                <w:b w:val="0"/>
                <w:bCs w:val="0"/>
                <w:color w:val="auto"/>
                <w:sz w:val="18"/>
                <w:szCs w:val="18"/>
              </w:rPr>
              <w:t>9 Kunduz</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6,115</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6,631</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5,970</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4,875</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tl/>
              </w:rPr>
              <w:t>09</w:t>
            </w:r>
            <w:r w:rsidRPr="00F868CF">
              <w:rPr>
                <w:rFonts w:eastAsia="Times New Roman"/>
                <w:b w:val="0"/>
                <w:bCs w:val="0"/>
                <w:color w:val="auto"/>
                <w:sz w:val="18"/>
                <w:szCs w:val="18"/>
              </w:rPr>
              <w:t xml:space="preserve"> Baghlan</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5,630</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7,921</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7,829</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6,674</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18 Takhar</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4,478</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4,782</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5,120</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5,322</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tl/>
              </w:rPr>
              <w:t>03</w:t>
            </w:r>
            <w:r w:rsidRPr="00F868CF">
              <w:rPr>
                <w:rFonts w:eastAsia="Times New Roman"/>
                <w:b w:val="0"/>
                <w:bCs w:val="0"/>
                <w:color w:val="auto"/>
                <w:sz w:val="18"/>
                <w:szCs w:val="18"/>
              </w:rPr>
              <w:t xml:space="preserve"> Parwan</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4,183</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5,007</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4,977</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8,317</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28 Jozjan</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4,465</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3,909</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5,373</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5,448</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10 Bamyan</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3,409</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3,187</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4,016</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3,869</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11 Ghazni</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5,188</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4,611</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4,366</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3,970</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29 Faryab</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3,830</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4,624</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5,154</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5,608</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15 Kunar</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3,185</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2,914</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3,648</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3,676</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14 Khost</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3,239</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4,085</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3,274</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3,581</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33 Farah</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3,054</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3,064</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3,273</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2,748</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04 Wardak</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3,265</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3,324</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3,813</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3,732</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02 Kapisa</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3,280</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2,895</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3,119</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3,630</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12 Paktika</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2,560</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3,150</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3,376</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3,894</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34 Nimroz</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2,645</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2,249</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2,982</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2,086</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05 Logar</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2,641</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2,738</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3,160</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3,313</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07 Laghman</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2,897</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2,958</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2,878</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3,700</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22 Sar pol</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2,679</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2,950</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2,890</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2,899</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23 Ghor</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3,074</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3,503</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3,254</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2,941</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20 Samangan</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2,419</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2,616</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2,395</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3,189</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24 Daikundi</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1,969</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2,268</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2,668</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2,812</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26 Zabul</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2,069</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1,883</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2,217</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1,959</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31 Badghis</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2,263</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2,205</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2,767</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3,235</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25 Uruzgan</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2,716</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2,027</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1,897</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1,882</w:t>
            </w:r>
          </w:p>
        </w:tc>
      </w:tr>
      <w:tr w:rsidR="00F868CF" w:rsidRPr="00F868CF" w:rsidTr="00F868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right w:val="none" w:sz="0" w:space="0" w:color="auto"/>
            </w:tcBorders>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16 Nooristan</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1,783</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1,922</w:t>
            </w:r>
          </w:p>
        </w:tc>
        <w:tc>
          <w:tcPr>
            <w:tcW w:w="1666"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1,937</w:t>
            </w:r>
          </w:p>
        </w:tc>
        <w:tc>
          <w:tcPr>
            <w:tcW w:w="1667" w:type="dxa"/>
            <w:tcBorders>
              <w:left w:val="none" w:sz="0" w:space="0" w:color="auto"/>
              <w:right w:val="none" w:sz="0" w:space="0" w:color="auto"/>
            </w:tcBorders>
            <w:shd w:val="clear" w:color="auto" w:fill="auto"/>
            <w:noWrap/>
            <w:hideMark/>
          </w:tcPr>
          <w:p w:rsidR="00985176" w:rsidRPr="00F868CF" w:rsidRDefault="00985176" w:rsidP="008A5890">
            <w:pPr>
              <w:numPr>
                <w:ilvl w:val="0"/>
                <w:numId w:val="0"/>
              </w:num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2,000</w:t>
            </w:r>
          </w:p>
        </w:tc>
      </w:tr>
      <w:tr w:rsidR="00F868CF" w:rsidRPr="00F868CF" w:rsidTr="00F868CF">
        <w:trPr>
          <w:trHeight w:val="360"/>
        </w:trPr>
        <w:tc>
          <w:tcPr>
            <w:cnfStyle w:val="001000000000" w:firstRow="0" w:lastRow="0" w:firstColumn="1" w:lastColumn="0" w:oddVBand="0" w:evenVBand="0" w:oddHBand="0" w:evenHBand="0" w:firstRowFirstColumn="0" w:firstRowLastColumn="0" w:lastRowFirstColumn="0" w:lastRowLastColumn="0"/>
            <w:tcW w:w="1460" w:type="dxa"/>
            <w:shd w:val="clear" w:color="auto" w:fill="auto"/>
            <w:noWrap/>
            <w:hideMark/>
          </w:tcPr>
          <w:p w:rsidR="00985176" w:rsidRPr="00F868CF" w:rsidRDefault="009C264A" w:rsidP="001225F0">
            <w:pPr>
              <w:numPr>
                <w:ilvl w:val="0"/>
                <w:numId w:val="0"/>
              </w:numPr>
              <w:rPr>
                <w:rFonts w:eastAsia="Times New Roman"/>
                <w:b w:val="0"/>
                <w:bCs w:val="0"/>
                <w:color w:val="auto"/>
                <w:sz w:val="18"/>
                <w:szCs w:val="18"/>
              </w:rPr>
            </w:pPr>
            <w:r w:rsidRPr="00F868CF">
              <w:rPr>
                <w:rFonts w:eastAsia="Times New Roman"/>
                <w:b w:val="0"/>
                <w:bCs w:val="0"/>
                <w:color w:val="auto"/>
                <w:sz w:val="18"/>
                <w:szCs w:val="18"/>
              </w:rPr>
              <w:t>08 Panjsher</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tl/>
              </w:rPr>
            </w:pPr>
            <w:r w:rsidRPr="00F868CF">
              <w:rPr>
                <w:rFonts w:eastAsia="Times New Roman" w:cstheme="minorHAnsi"/>
                <w:color w:val="auto"/>
                <w:sz w:val="18"/>
                <w:szCs w:val="18"/>
              </w:rPr>
              <w:t>1,691</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1,892</w:t>
            </w:r>
          </w:p>
        </w:tc>
        <w:tc>
          <w:tcPr>
            <w:tcW w:w="1666"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1,816</w:t>
            </w:r>
          </w:p>
        </w:tc>
        <w:tc>
          <w:tcPr>
            <w:tcW w:w="1667" w:type="dxa"/>
            <w:shd w:val="clear" w:color="auto" w:fill="auto"/>
            <w:noWrap/>
            <w:hideMark/>
          </w:tcPr>
          <w:p w:rsidR="00985176" w:rsidRPr="00F868CF" w:rsidRDefault="00985176" w:rsidP="008A589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F868CF">
              <w:rPr>
                <w:rFonts w:eastAsia="Times New Roman" w:cstheme="minorHAnsi"/>
                <w:color w:val="auto"/>
                <w:sz w:val="18"/>
                <w:szCs w:val="18"/>
              </w:rPr>
              <w:t>2,010</w:t>
            </w:r>
          </w:p>
        </w:tc>
      </w:tr>
    </w:tbl>
    <w:p w:rsidR="008A5890" w:rsidRPr="00A63524" w:rsidRDefault="008A5890" w:rsidP="00A63524">
      <w:pPr>
        <w:pStyle w:val="Heading3"/>
      </w:pPr>
      <w:bookmarkStart w:id="192" w:name="_Toc535744331"/>
      <w:bookmarkStart w:id="193" w:name="_Toc535750260"/>
      <w:r w:rsidRPr="00A63524">
        <w:t>Provincial Expenditure Analysis</w:t>
      </w:r>
      <w:bookmarkEnd w:id="192"/>
      <w:bookmarkEnd w:id="193"/>
    </w:p>
    <w:p w:rsidR="008A5890" w:rsidRPr="005A49D3" w:rsidRDefault="00E852BA" w:rsidP="00F868CF">
      <w:pPr>
        <w:spacing w:line="276" w:lineRule="auto"/>
        <w:jc w:val="both"/>
        <w:rPr>
          <w:szCs w:val="22"/>
          <w:lang w:bidi="ps-AF"/>
        </w:rPr>
      </w:pPr>
      <w:r w:rsidRPr="005A49D3">
        <w:rPr>
          <w:szCs w:val="22"/>
          <w:lang w:bidi="ps-AF"/>
        </w:rPr>
        <w:t>The first option for evaluating the provincial expenditures is in comparison with the real annual nominal costs. The following graph shows the provincial expenditure of the year 1397, it must be said that the prediction of expenditures by the end of the year 1397 is considered as an estimation</w:t>
      </w:r>
      <w:r w:rsidR="0029639D" w:rsidRPr="005A49D3">
        <w:rPr>
          <w:szCs w:val="22"/>
          <w:lang w:bidi="ps-AF"/>
        </w:rPr>
        <w:t xml:space="preserve"> which can be changed.</w:t>
      </w:r>
    </w:p>
    <w:p w:rsidR="0029639D" w:rsidRPr="005A49D3" w:rsidRDefault="0029639D" w:rsidP="00F868CF">
      <w:pPr>
        <w:spacing w:line="276" w:lineRule="auto"/>
        <w:jc w:val="both"/>
        <w:rPr>
          <w:szCs w:val="22"/>
          <w:lang w:bidi="ps-AF"/>
        </w:rPr>
      </w:pPr>
      <w:r w:rsidRPr="005A49D3">
        <w:rPr>
          <w:szCs w:val="22"/>
          <w:lang w:bidi="ps-AF"/>
        </w:rPr>
        <w:t>Five pr</w:t>
      </w:r>
      <w:r w:rsidR="002E01E9" w:rsidRPr="005A49D3">
        <w:rPr>
          <w:szCs w:val="22"/>
          <w:lang w:bidi="ps-AF"/>
        </w:rPr>
        <w:t>ovinces with the most nominal expenditure</w:t>
      </w:r>
      <w:r w:rsidRPr="005A49D3">
        <w:rPr>
          <w:szCs w:val="22"/>
          <w:lang w:bidi="ps-AF"/>
        </w:rPr>
        <w:t xml:space="preserve"> are Kabul, Nangarhar, Kandahar, Balkh and Herat which has formed 37% of provincial expenditure and 20% of total budget and are the provinces that make the most of population of the country i.e. 39% of the total population.</w:t>
      </w:r>
    </w:p>
    <w:p w:rsidR="009437E5" w:rsidRDefault="00116B63" w:rsidP="00F868CF">
      <w:pPr>
        <w:spacing w:line="276" w:lineRule="auto"/>
        <w:jc w:val="both"/>
        <w:rPr>
          <w:szCs w:val="22"/>
          <w:lang w:bidi="ps-AF"/>
        </w:rPr>
        <w:sectPr w:rsidR="009437E5" w:rsidSect="009D6E9F">
          <w:pgSz w:w="11906" w:h="16838" w:code="9"/>
          <w:pgMar w:top="1440" w:right="1800" w:bottom="1440" w:left="1800" w:header="720" w:footer="720" w:gutter="0"/>
          <w:cols w:space="708"/>
          <w:docGrid w:linePitch="360"/>
        </w:sectPr>
      </w:pPr>
      <w:r w:rsidRPr="005A49D3">
        <w:rPr>
          <w:szCs w:val="22"/>
          <w:lang w:bidi="ps-AF"/>
        </w:rPr>
        <w:t>Also, five pro</w:t>
      </w:r>
      <w:r w:rsidR="002E01E9" w:rsidRPr="005A49D3">
        <w:rPr>
          <w:szCs w:val="22"/>
          <w:lang w:bidi="ps-AF"/>
        </w:rPr>
        <w:t>vinces with the least nominal expenditure</w:t>
      </w:r>
      <w:r w:rsidRPr="005A49D3">
        <w:rPr>
          <w:szCs w:val="22"/>
          <w:lang w:bidi="ps-AF"/>
        </w:rPr>
        <w:t xml:space="preserve"> are Panjsher, Nooristan, Uruzgan, Zabul and Daikundi which has formed 5% of total provincial expenditure and approximately 3% of total budget. These five provinces form only five percent of total population of the country.</w:t>
      </w:r>
    </w:p>
    <w:p w:rsidR="00D13154" w:rsidRPr="00D13154" w:rsidRDefault="00D13154" w:rsidP="00D13154">
      <w:pPr>
        <w:pStyle w:val="Caption"/>
        <w:keepNext/>
        <w:bidi w:val="0"/>
        <w:jc w:val="left"/>
        <w:rPr>
          <w:rFonts w:ascii="Garamond" w:hAnsi="Garamond"/>
          <w:sz w:val="22"/>
          <w:szCs w:val="22"/>
        </w:rPr>
      </w:pPr>
      <w:bookmarkStart w:id="194" w:name="_Toc535750374"/>
      <w:r w:rsidRPr="00D13154">
        <w:rPr>
          <w:rFonts w:ascii="Garamond" w:hAnsi="Garamond"/>
          <w:sz w:val="22"/>
          <w:szCs w:val="22"/>
        </w:rPr>
        <w:lastRenderedPageBreak/>
        <w:t>Figure</w:t>
      </w:r>
      <w:r w:rsidRPr="00D13154">
        <w:rPr>
          <w:rFonts w:ascii="Garamond" w:hAnsi="Garamond"/>
          <w:sz w:val="22"/>
          <w:szCs w:val="22"/>
          <w:rtl/>
        </w:rPr>
        <w:t xml:space="preserve"> </w:t>
      </w:r>
      <w:r w:rsidRPr="00D13154">
        <w:rPr>
          <w:rFonts w:ascii="Garamond" w:hAnsi="Garamond"/>
          <w:sz w:val="22"/>
          <w:szCs w:val="22"/>
          <w:rtl/>
        </w:rPr>
        <w:fldChar w:fldCharType="begin"/>
      </w:r>
      <w:r w:rsidRPr="00D13154">
        <w:rPr>
          <w:rFonts w:ascii="Garamond" w:hAnsi="Garamond"/>
          <w:sz w:val="22"/>
          <w:szCs w:val="22"/>
          <w:rtl/>
        </w:rPr>
        <w:instrText xml:space="preserve"> </w:instrText>
      </w:r>
      <w:r w:rsidRPr="00D13154">
        <w:rPr>
          <w:rFonts w:ascii="Garamond" w:hAnsi="Garamond"/>
          <w:sz w:val="22"/>
          <w:szCs w:val="22"/>
        </w:rPr>
        <w:instrText>SEQ</w:instrText>
      </w:r>
      <w:r w:rsidRPr="00D13154">
        <w:rPr>
          <w:rFonts w:ascii="Garamond" w:hAnsi="Garamond"/>
          <w:sz w:val="22"/>
          <w:szCs w:val="22"/>
          <w:rtl/>
        </w:rPr>
        <w:instrText xml:space="preserve"> </w:instrText>
      </w:r>
      <w:r w:rsidRPr="00D13154">
        <w:rPr>
          <w:rFonts w:ascii="Garamond" w:hAnsi="Garamond"/>
          <w:sz w:val="22"/>
          <w:szCs w:val="22"/>
        </w:rPr>
        <w:instrText>Figure \* ARABIC</w:instrText>
      </w:r>
      <w:r w:rsidRPr="00D13154">
        <w:rPr>
          <w:rFonts w:ascii="Garamond" w:hAnsi="Garamond"/>
          <w:sz w:val="22"/>
          <w:szCs w:val="22"/>
          <w:rtl/>
        </w:rPr>
        <w:instrText xml:space="preserve"> </w:instrText>
      </w:r>
      <w:r w:rsidRPr="00D13154">
        <w:rPr>
          <w:rFonts w:ascii="Garamond" w:hAnsi="Garamond"/>
          <w:sz w:val="22"/>
          <w:szCs w:val="22"/>
          <w:rtl/>
        </w:rPr>
        <w:fldChar w:fldCharType="separate"/>
      </w:r>
      <w:r w:rsidR="00862183">
        <w:rPr>
          <w:rFonts w:ascii="Garamond" w:hAnsi="Garamond"/>
          <w:noProof/>
          <w:sz w:val="22"/>
          <w:szCs w:val="22"/>
          <w:rtl/>
        </w:rPr>
        <w:t>9</w:t>
      </w:r>
      <w:r w:rsidRPr="00D13154">
        <w:rPr>
          <w:rFonts w:ascii="Garamond" w:hAnsi="Garamond"/>
          <w:sz w:val="22"/>
          <w:szCs w:val="22"/>
          <w:rtl/>
        </w:rPr>
        <w:fldChar w:fldCharType="end"/>
      </w:r>
      <w:r w:rsidRPr="00D13154">
        <w:rPr>
          <w:rFonts w:ascii="Garamond" w:hAnsi="Garamond"/>
          <w:sz w:val="22"/>
          <w:szCs w:val="22"/>
        </w:rPr>
        <w:t>Government’s Expenditure by Provinces</w:t>
      </w:r>
      <w:bookmarkEnd w:id="194"/>
    </w:p>
    <w:p w:rsidR="00116B63" w:rsidRPr="005A49D3" w:rsidRDefault="008002FF" w:rsidP="008A5890">
      <w:pPr>
        <w:rPr>
          <w:szCs w:val="22"/>
        </w:rPr>
      </w:pPr>
      <w:r w:rsidRPr="005A49D3">
        <w:rPr>
          <w:noProof/>
          <w:szCs w:val="22"/>
        </w:rPr>
        <w:drawing>
          <wp:inline distT="0" distB="0" distL="0" distR="0" wp14:anchorId="58806F20" wp14:editId="52340B32">
            <wp:extent cx="9089409" cy="4708478"/>
            <wp:effectExtent l="0" t="0" r="0" b="0"/>
            <wp:docPr id="12" name="Chart 12">
              <a:extLst xmlns:a="http://schemas.openxmlformats.org/drawingml/2006/main">
                <a:ext uri="{FF2B5EF4-FFF2-40B4-BE49-F238E27FC236}">
                  <a16:creationId xmlns:a16="http://schemas.microsoft.com/office/drawing/2014/main" id="{00000000-0008-0000-0F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00BE0" w:rsidRPr="005A49D3" w:rsidRDefault="00300BE0" w:rsidP="008A5890">
      <w:pPr>
        <w:rPr>
          <w:szCs w:val="22"/>
        </w:rPr>
      </w:pPr>
    </w:p>
    <w:p w:rsidR="004F0155" w:rsidRDefault="004F0155" w:rsidP="008A5890">
      <w:pPr>
        <w:rPr>
          <w:szCs w:val="22"/>
        </w:rPr>
        <w:sectPr w:rsidR="004F0155" w:rsidSect="009437E5">
          <w:pgSz w:w="16838" w:h="11906" w:orient="landscape" w:code="9"/>
          <w:pgMar w:top="1800" w:right="1440" w:bottom="1800" w:left="1440" w:header="720" w:footer="720" w:gutter="0"/>
          <w:cols w:space="708"/>
          <w:docGrid w:linePitch="360"/>
        </w:sectPr>
      </w:pPr>
    </w:p>
    <w:p w:rsidR="00300BE0" w:rsidRPr="005A49D3" w:rsidRDefault="00300BE0" w:rsidP="00AD5B9F">
      <w:pPr>
        <w:jc w:val="both"/>
        <w:rPr>
          <w:szCs w:val="22"/>
        </w:rPr>
      </w:pPr>
    </w:p>
    <w:p w:rsidR="00624978" w:rsidRPr="005A49D3" w:rsidRDefault="004331DD" w:rsidP="00AD5B9F">
      <w:pPr>
        <w:jc w:val="both"/>
        <w:rPr>
          <w:szCs w:val="22"/>
        </w:rPr>
      </w:pPr>
      <w:r w:rsidRPr="005A49D3">
        <w:rPr>
          <w:szCs w:val="22"/>
        </w:rPr>
        <w:t>Analysis for the evaluation of the government’s per capita cost can also be done on provincial level. This analysis shows how much is spent on each person in a province. In some cases, this method is a better way to understand the equitable allocation of resources.</w:t>
      </w:r>
    </w:p>
    <w:p w:rsidR="004331DD" w:rsidRPr="005A49D3" w:rsidRDefault="004331DD" w:rsidP="00AD5B9F">
      <w:pPr>
        <w:jc w:val="both"/>
        <w:rPr>
          <w:szCs w:val="22"/>
        </w:rPr>
      </w:pPr>
      <w:r w:rsidRPr="005A49D3">
        <w:rPr>
          <w:szCs w:val="22"/>
        </w:rPr>
        <w:t xml:space="preserve">Under the conditions of per capita costs, </w:t>
      </w:r>
      <w:r w:rsidR="00943580" w:rsidRPr="005A49D3">
        <w:rPr>
          <w:szCs w:val="22"/>
        </w:rPr>
        <w:t xml:space="preserve">provinces such as Paktia, Nimroz, Nooristan, Kandahar and Panjsher are identified with the highest government expenditures. Compare to other provinces, Paktia has the most expenditure in the last eight years and also the allocated per capita cost of this province in the year 1397 reaches to AFN20162 which is equal to 295$. </w:t>
      </w:r>
    </w:p>
    <w:p w:rsidR="00943580" w:rsidRPr="00A00C6A" w:rsidRDefault="002E01E9" w:rsidP="00AD5B9F">
      <w:pPr>
        <w:jc w:val="both"/>
        <w:rPr>
          <w:spacing w:val="-2"/>
          <w:szCs w:val="22"/>
        </w:rPr>
      </w:pPr>
      <w:r w:rsidRPr="00A00C6A">
        <w:rPr>
          <w:spacing w:val="-2"/>
          <w:szCs w:val="22"/>
        </w:rPr>
        <w:t>Five provinces with the least per capita expenditure are Ghazni, Kabul, Ghor</w:t>
      </w:r>
      <w:r w:rsidR="009D14AA" w:rsidRPr="00A00C6A">
        <w:rPr>
          <w:spacing w:val="-2"/>
          <w:szCs w:val="22"/>
        </w:rPr>
        <w:t>, Faryab, and Badghiz</w:t>
      </w:r>
      <w:r w:rsidR="004E0A61" w:rsidRPr="00A00C6A">
        <w:rPr>
          <w:spacing w:val="-2"/>
          <w:szCs w:val="22"/>
        </w:rPr>
        <w:t xml:space="preserve">. </w:t>
      </w:r>
      <w:r w:rsidR="009D14AA" w:rsidRPr="00A00C6A">
        <w:rPr>
          <w:spacing w:val="-2"/>
          <w:szCs w:val="22"/>
        </w:rPr>
        <w:t xml:space="preserve">The lowest level of per capita expenditure is in Ghazni, government has calculated AFN3019 which is equal to 44$ per person in the year 1397. Highest level of per capita expenditure in Paktia province is approximately six times more than the lowest level </w:t>
      </w:r>
      <w:r w:rsidR="007923CB" w:rsidRPr="00A00C6A">
        <w:rPr>
          <w:spacing w:val="-2"/>
          <w:szCs w:val="22"/>
        </w:rPr>
        <w:t>of per capita expenditure of the government in Ghazni province. This analysis shows the level of inequality of the distribution of financial resources but the government will handle it in the upcoming years.</w:t>
      </w:r>
    </w:p>
    <w:p w:rsidR="007923CB" w:rsidRPr="005A49D3" w:rsidRDefault="007923CB" w:rsidP="00AD5B9F">
      <w:pPr>
        <w:jc w:val="both"/>
        <w:rPr>
          <w:szCs w:val="22"/>
        </w:rPr>
      </w:pPr>
      <w:r w:rsidRPr="005A49D3">
        <w:rPr>
          <w:szCs w:val="22"/>
        </w:rPr>
        <w:t>The top five provinces and the lower five provinces in per capita expenditure of the government, in attention to their relative proportions, are completely sustainable as compared to other provinces.</w:t>
      </w:r>
      <w:r w:rsidR="005D6C68" w:rsidRPr="005A49D3">
        <w:rPr>
          <w:szCs w:val="22"/>
        </w:rPr>
        <w:t xml:space="preserve"> Rest of the majority have seen more significant/considerable level of government expenditure in the provinces. Part of them are increasing with the increase of the large projects in one year while the security situation in present means that some of the provinces are mov</w:t>
      </w:r>
      <w:r w:rsidR="008002FF" w:rsidRPr="005A49D3">
        <w:rPr>
          <w:szCs w:val="22"/>
        </w:rPr>
        <w:t>ing between secure and unsecure situations.</w:t>
      </w:r>
    </w:p>
    <w:p w:rsidR="008002FF" w:rsidRPr="005A49D3" w:rsidRDefault="008002FF" w:rsidP="008A5890">
      <w:pPr>
        <w:rPr>
          <w:szCs w:val="22"/>
        </w:rPr>
      </w:pPr>
    </w:p>
    <w:p w:rsidR="004F0155" w:rsidRDefault="004F0155" w:rsidP="008A5890">
      <w:pPr>
        <w:rPr>
          <w:szCs w:val="22"/>
        </w:rPr>
        <w:sectPr w:rsidR="004F0155" w:rsidSect="004F0155">
          <w:pgSz w:w="11906" w:h="16838" w:code="9"/>
          <w:pgMar w:top="1440" w:right="1800" w:bottom="1440" w:left="1800" w:header="720" w:footer="720" w:gutter="0"/>
          <w:cols w:space="708"/>
          <w:docGrid w:linePitch="360"/>
        </w:sectPr>
      </w:pPr>
    </w:p>
    <w:p w:rsidR="00D13154" w:rsidRPr="00D13154" w:rsidRDefault="00D13154" w:rsidP="00D13154">
      <w:pPr>
        <w:pStyle w:val="Caption"/>
        <w:keepNext/>
        <w:bidi w:val="0"/>
        <w:jc w:val="left"/>
        <w:rPr>
          <w:rFonts w:ascii="Garamond" w:hAnsi="Garamond"/>
          <w:sz w:val="22"/>
          <w:szCs w:val="22"/>
        </w:rPr>
      </w:pPr>
      <w:bookmarkStart w:id="195" w:name="_Toc535750375"/>
      <w:r w:rsidRPr="00D13154">
        <w:rPr>
          <w:rFonts w:ascii="Garamond" w:hAnsi="Garamond"/>
          <w:sz w:val="22"/>
          <w:szCs w:val="22"/>
        </w:rPr>
        <w:lastRenderedPageBreak/>
        <w:t>Figure</w:t>
      </w:r>
      <w:r w:rsidRPr="00D13154">
        <w:rPr>
          <w:rFonts w:ascii="Garamond" w:hAnsi="Garamond"/>
          <w:sz w:val="22"/>
          <w:szCs w:val="22"/>
          <w:rtl/>
        </w:rPr>
        <w:t xml:space="preserve"> </w:t>
      </w:r>
      <w:r w:rsidRPr="00D13154">
        <w:rPr>
          <w:rFonts w:ascii="Garamond" w:hAnsi="Garamond"/>
          <w:sz w:val="22"/>
          <w:szCs w:val="22"/>
          <w:rtl/>
        </w:rPr>
        <w:fldChar w:fldCharType="begin"/>
      </w:r>
      <w:r w:rsidRPr="00D13154">
        <w:rPr>
          <w:rFonts w:ascii="Garamond" w:hAnsi="Garamond"/>
          <w:sz w:val="22"/>
          <w:szCs w:val="22"/>
          <w:rtl/>
        </w:rPr>
        <w:instrText xml:space="preserve"> </w:instrText>
      </w:r>
      <w:r w:rsidRPr="00D13154">
        <w:rPr>
          <w:rFonts w:ascii="Garamond" w:hAnsi="Garamond"/>
          <w:sz w:val="22"/>
          <w:szCs w:val="22"/>
        </w:rPr>
        <w:instrText>SEQ</w:instrText>
      </w:r>
      <w:r w:rsidRPr="00D13154">
        <w:rPr>
          <w:rFonts w:ascii="Garamond" w:hAnsi="Garamond"/>
          <w:sz w:val="22"/>
          <w:szCs w:val="22"/>
          <w:rtl/>
        </w:rPr>
        <w:instrText xml:space="preserve"> </w:instrText>
      </w:r>
      <w:r w:rsidRPr="00D13154">
        <w:rPr>
          <w:rFonts w:ascii="Garamond" w:hAnsi="Garamond"/>
          <w:sz w:val="22"/>
          <w:szCs w:val="22"/>
        </w:rPr>
        <w:instrText>Figure \* ARABIC</w:instrText>
      </w:r>
      <w:r w:rsidRPr="00D13154">
        <w:rPr>
          <w:rFonts w:ascii="Garamond" w:hAnsi="Garamond"/>
          <w:sz w:val="22"/>
          <w:szCs w:val="22"/>
          <w:rtl/>
        </w:rPr>
        <w:instrText xml:space="preserve"> </w:instrText>
      </w:r>
      <w:r w:rsidRPr="00D13154">
        <w:rPr>
          <w:rFonts w:ascii="Garamond" w:hAnsi="Garamond"/>
          <w:sz w:val="22"/>
          <w:szCs w:val="22"/>
          <w:rtl/>
        </w:rPr>
        <w:fldChar w:fldCharType="separate"/>
      </w:r>
      <w:r w:rsidR="00862183">
        <w:rPr>
          <w:rFonts w:ascii="Garamond" w:hAnsi="Garamond"/>
          <w:noProof/>
          <w:sz w:val="22"/>
          <w:szCs w:val="22"/>
          <w:rtl/>
        </w:rPr>
        <w:t>10</w:t>
      </w:r>
      <w:r w:rsidRPr="00D13154">
        <w:rPr>
          <w:rFonts w:ascii="Garamond" w:hAnsi="Garamond"/>
          <w:sz w:val="22"/>
          <w:szCs w:val="22"/>
          <w:rtl/>
        </w:rPr>
        <w:fldChar w:fldCharType="end"/>
      </w:r>
      <w:r w:rsidRPr="00D13154">
        <w:rPr>
          <w:rFonts w:ascii="Garamond" w:hAnsi="Garamond"/>
          <w:sz w:val="22"/>
          <w:szCs w:val="22"/>
        </w:rPr>
        <w:t>Per Capita Government Expenditure by Provinces</w:t>
      </w:r>
      <w:bookmarkEnd w:id="195"/>
    </w:p>
    <w:p w:rsidR="006A3D8C" w:rsidRPr="005A49D3" w:rsidRDefault="008002FF" w:rsidP="00A00C6A">
      <w:pPr>
        <w:rPr>
          <w:szCs w:val="22"/>
        </w:rPr>
      </w:pPr>
      <w:r w:rsidRPr="005A49D3">
        <w:rPr>
          <w:noProof/>
          <w:szCs w:val="22"/>
        </w:rPr>
        <w:drawing>
          <wp:inline distT="0" distB="0" distL="0" distR="0" wp14:anchorId="5C1F3BBC" wp14:editId="354379B5">
            <wp:extent cx="8856980" cy="4810125"/>
            <wp:effectExtent l="0" t="0" r="127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F0155" w:rsidRDefault="004F0155" w:rsidP="006A3D8C">
      <w:pPr>
        <w:rPr>
          <w:szCs w:val="22"/>
        </w:rPr>
        <w:sectPr w:rsidR="004F0155" w:rsidSect="004F0155">
          <w:pgSz w:w="16838" w:h="11906" w:orient="landscape" w:code="9"/>
          <w:pgMar w:top="1800" w:right="1440" w:bottom="1800" w:left="1440" w:header="720" w:footer="720" w:gutter="0"/>
          <w:cols w:space="708"/>
          <w:docGrid w:linePitch="360"/>
        </w:sectPr>
      </w:pPr>
    </w:p>
    <w:p w:rsidR="00622CB6" w:rsidRPr="004F0155" w:rsidRDefault="00622CB6" w:rsidP="004F0155">
      <w:pPr>
        <w:tabs>
          <w:tab w:val="left" w:pos="1440"/>
        </w:tabs>
        <w:rPr>
          <w:b/>
          <w:bCs/>
          <w:rtl/>
        </w:rPr>
      </w:pPr>
      <w:bookmarkStart w:id="196" w:name="_Toc535744332"/>
      <w:r w:rsidRPr="004F0155">
        <w:rPr>
          <w:b/>
          <w:bCs/>
        </w:rPr>
        <w:lastRenderedPageBreak/>
        <w:t>Town Hall Meetings</w:t>
      </w:r>
      <w:bookmarkEnd w:id="196"/>
    </w:p>
    <w:p w:rsidR="00622CB6" w:rsidRPr="00A00C6A" w:rsidRDefault="00622CB6" w:rsidP="00622CB6">
      <w:pPr>
        <w:jc w:val="both"/>
        <w:rPr>
          <w:spacing w:val="-2"/>
          <w:szCs w:val="22"/>
          <w:rtl/>
        </w:rPr>
      </w:pPr>
      <w:r w:rsidRPr="00A00C6A">
        <w:rPr>
          <w:spacing w:val="-2"/>
          <w:szCs w:val="22"/>
        </w:rPr>
        <w:t>Town Hall Meetings is the government’s approach to establish linkage with the people and seek the public feedback on the government performances. Finding out information on public challenges and requirements directly through the their representatives made up of different classes of the community and collecting constructive recommendations on methodology of service delivery and finally establishment of a favorable connection between the public and the government to alleviate the distance in between them makes the objectives of the Town Hall Meetings.</w:t>
      </w:r>
    </w:p>
    <w:p w:rsidR="00622CB6" w:rsidRPr="00A00C6A" w:rsidRDefault="00622CB6" w:rsidP="00622CB6">
      <w:pPr>
        <w:jc w:val="both"/>
        <w:rPr>
          <w:spacing w:val="-2"/>
          <w:szCs w:val="22"/>
          <w:rtl/>
        </w:rPr>
      </w:pPr>
      <w:r w:rsidRPr="00A00C6A">
        <w:rPr>
          <w:spacing w:val="-2"/>
          <w:szCs w:val="22"/>
        </w:rPr>
        <w:t>Town Hall Meetings with the public is an open, free and democratic process enabling the government to make decisions in consultation with the public and utilize the government financial resources on the key development areas to bring out the utmost efficiency.</w:t>
      </w:r>
    </w:p>
    <w:p w:rsidR="00622CB6" w:rsidRPr="00A00C6A" w:rsidRDefault="00622CB6" w:rsidP="00622CB6">
      <w:pPr>
        <w:jc w:val="both"/>
        <w:rPr>
          <w:spacing w:val="-2"/>
          <w:szCs w:val="22"/>
          <w:rtl/>
        </w:rPr>
      </w:pPr>
      <w:r w:rsidRPr="00A00C6A">
        <w:rPr>
          <w:spacing w:val="-2"/>
          <w:szCs w:val="22"/>
        </w:rPr>
        <w:t>The government endeavors to collect the public requirements using a set of tools and address these requirements through development of suitable policies. However, the lessons learnt indicate that development of most of the policies, projects on the basis of facts, figures and information received from different sources do not reflect the public requirements a hundred percent and has been influenced by feedbacks from experts dwelling in the center.</w:t>
      </w:r>
    </w:p>
    <w:p w:rsidR="00622CB6" w:rsidRPr="00A00C6A" w:rsidRDefault="00622CB6" w:rsidP="00622CB6">
      <w:pPr>
        <w:jc w:val="both"/>
        <w:rPr>
          <w:spacing w:val="-2"/>
          <w:szCs w:val="22"/>
          <w:rtl/>
        </w:rPr>
      </w:pPr>
      <w:r w:rsidRPr="00A00C6A">
        <w:rPr>
          <w:spacing w:val="-2"/>
          <w:szCs w:val="22"/>
        </w:rPr>
        <w:t>Accordingly, the Ministry of Finance intended to collect information directly from the public through conduction of Town Hall Meetings in five provinces to address the public needs through this measure.</w:t>
      </w:r>
    </w:p>
    <w:p w:rsidR="00622CB6" w:rsidRPr="00A00C6A" w:rsidRDefault="00622CB6" w:rsidP="00622CB6">
      <w:pPr>
        <w:jc w:val="both"/>
        <w:rPr>
          <w:spacing w:val="-2"/>
          <w:szCs w:val="22"/>
          <w:rtl/>
        </w:rPr>
      </w:pPr>
      <w:r w:rsidRPr="00A00C6A">
        <w:rPr>
          <w:spacing w:val="-2"/>
          <w:szCs w:val="22"/>
        </w:rPr>
        <w:t>Following consultations with the concerned entities, the Ministry of Finance proposed to convene Town Hall Meetings in five provinces, namely Kabul, Balkh, Herat, Kandahar and Nangarhar. Selection of participants was also carried out in agreement with the relevant organizations from amongst the development councils of districts and active youth throughout the cities. The delegation of the Ministry of Finance held the leadership responsibilities of these meetings, co-hosted by representatives of IDLG, Ministry of Economy and Deputy Ministry for Policy of MoF as the central members, and Deputy Governor, Mustofi and Director of Economy as the provincial members.</w:t>
      </w:r>
    </w:p>
    <w:p w:rsidR="00622CB6" w:rsidRPr="005A49D3" w:rsidRDefault="00622CB6" w:rsidP="00A63524">
      <w:pPr>
        <w:pStyle w:val="Heading4"/>
        <w:rPr>
          <w:rtl/>
        </w:rPr>
      </w:pPr>
      <w:r w:rsidRPr="005A49D3">
        <w:t>Implementation Methodology</w:t>
      </w:r>
      <w:r w:rsidRPr="005A49D3">
        <w:tab/>
      </w:r>
    </w:p>
    <w:p w:rsidR="00622CB6" w:rsidRPr="00A00C6A" w:rsidRDefault="00622CB6" w:rsidP="00622CB6">
      <w:pPr>
        <w:jc w:val="both"/>
        <w:rPr>
          <w:spacing w:val="-2"/>
          <w:szCs w:val="22"/>
        </w:rPr>
      </w:pPr>
      <w:r w:rsidRPr="00A00C6A">
        <w:rPr>
          <w:spacing w:val="-2"/>
          <w:szCs w:val="22"/>
        </w:rPr>
        <w:t>Recommendations from Participants were documented by the relevant team and later categorized according to their nature; these recommendations were then sent to their respective ministries /departments along with the list of requirements through an official letter requesting them to consider these requirements as prioritized public recommendations in their med-term (1398-1401) budgetary proposals.</w:t>
      </w:r>
    </w:p>
    <w:p w:rsidR="00622CB6" w:rsidRPr="00A00C6A" w:rsidRDefault="00622CB6" w:rsidP="00622CB6">
      <w:pPr>
        <w:jc w:val="both"/>
        <w:rPr>
          <w:spacing w:val="-2"/>
          <w:szCs w:val="22"/>
        </w:rPr>
      </w:pPr>
      <w:r w:rsidRPr="00A00C6A">
        <w:rPr>
          <w:spacing w:val="-2"/>
          <w:szCs w:val="22"/>
        </w:rPr>
        <w:t>The number of recommendations and participants in five Town Hall Meetings is as follows:</w:t>
      </w:r>
    </w:p>
    <w:p w:rsidR="00622CB6" w:rsidRPr="005A49D3" w:rsidRDefault="00622CB6" w:rsidP="00622CB6">
      <w:pPr>
        <w:jc w:val="both"/>
        <w:rPr>
          <w:rFonts w:asciiTheme="majorBidi" w:hAnsiTheme="majorBidi" w:cstheme="majorBidi"/>
          <w:szCs w:val="22"/>
        </w:rPr>
      </w:pPr>
    </w:p>
    <w:p w:rsidR="00622CB6" w:rsidRPr="00D13154" w:rsidRDefault="00D13154" w:rsidP="00D13154">
      <w:pPr>
        <w:pStyle w:val="Caption"/>
        <w:keepNext/>
        <w:bidi w:val="0"/>
        <w:jc w:val="left"/>
        <w:rPr>
          <w:rFonts w:ascii="Garamond" w:hAnsi="Garamond"/>
          <w:sz w:val="22"/>
          <w:szCs w:val="22"/>
        </w:rPr>
      </w:pPr>
      <w:bookmarkStart w:id="197" w:name="_Toc535750276"/>
      <w:r w:rsidRPr="00D13154">
        <w:rPr>
          <w:rFonts w:ascii="Garamond" w:hAnsi="Garamond"/>
          <w:sz w:val="22"/>
          <w:szCs w:val="22"/>
        </w:rPr>
        <w:t>Table</w:t>
      </w:r>
      <w:r w:rsidRPr="00D13154">
        <w:rPr>
          <w:rFonts w:ascii="Garamond" w:hAnsi="Garamond"/>
          <w:sz w:val="22"/>
          <w:szCs w:val="22"/>
          <w:rtl/>
        </w:rPr>
        <w:t xml:space="preserve"> </w:t>
      </w:r>
      <w:r w:rsidRPr="00D13154">
        <w:rPr>
          <w:rFonts w:ascii="Garamond" w:hAnsi="Garamond"/>
          <w:sz w:val="22"/>
          <w:szCs w:val="22"/>
          <w:rtl/>
        </w:rPr>
        <w:fldChar w:fldCharType="begin"/>
      </w:r>
      <w:r w:rsidRPr="00D13154">
        <w:rPr>
          <w:rFonts w:ascii="Garamond" w:hAnsi="Garamond"/>
          <w:sz w:val="22"/>
          <w:szCs w:val="22"/>
          <w:rtl/>
        </w:rPr>
        <w:instrText xml:space="preserve"> </w:instrText>
      </w:r>
      <w:r w:rsidRPr="00D13154">
        <w:rPr>
          <w:rFonts w:ascii="Garamond" w:hAnsi="Garamond"/>
          <w:sz w:val="22"/>
          <w:szCs w:val="22"/>
        </w:rPr>
        <w:instrText>SEQ</w:instrText>
      </w:r>
      <w:r w:rsidRPr="00D13154">
        <w:rPr>
          <w:rFonts w:ascii="Garamond" w:hAnsi="Garamond"/>
          <w:sz w:val="22"/>
          <w:szCs w:val="22"/>
          <w:rtl/>
        </w:rPr>
        <w:instrText xml:space="preserve"> </w:instrText>
      </w:r>
      <w:r w:rsidRPr="00D13154">
        <w:rPr>
          <w:rFonts w:ascii="Garamond" w:hAnsi="Garamond"/>
          <w:sz w:val="22"/>
          <w:szCs w:val="22"/>
        </w:rPr>
        <w:instrText>Table \* ARABIC</w:instrText>
      </w:r>
      <w:r w:rsidRPr="00D13154">
        <w:rPr>
          <w:rFonts w:ascii="Garamond" w:hAnsi="Garamond"/>
          <w:sz w:val="22"/>
          <w:szCs w:val="22"/>
          <w:rtl/>
        </w:rPr>
        <w:instrText xml:space="preserve"> </w:instrText>
      </w:r>
      <w:r w:rsidRPr="00D13154">
        <w:rPr>
          <w:rFonts w:ascii="Garamond" w:hAnsi="Garamond"/>
          <w:sz w:val="22"/>
          <w:szCs w:val="22"/>
          <w:rtl/>
        </w:rPr>
        <w:fldChar w:fldCharType="separate"/>
      </w:r>
      <w:r w:rsidR="00862183">
        <w:rPr>
          <w:rFonts w:ascii="Garamond" w:hAnsi="Garamond"/>
          <w:noProof/>
          <w:sz w:val="22"/>
          <w:szCs w:val="22"/>
          <w:rtl/>
        </w:rPr>
        <w:t>15</w:t>
      </w:r>
      <w:r w:rsidRPr="00D13154">
        <w:rPr>
          <w:rFonts w:ascii="Garamond" w:hAnsi="Garamond"/>
          <w:sz w:val="22"/>
          <w:szCs w:val="22"/>
          <w:rtl/>
        </w:rPr>
        <w:fldChar w:fldCharType="end"/>
      </w:r>
      <w:r w:rsidRPr="00D13154">
        <w:rPr>
          <w:rFonts w:ascii="Garamond" w:hAnsi="Garamond"/>
          <w:sz w:val="22"/>
          <w:szCs w:val="22"/>
        </w:rPr>
        <w:t>Requirements by Province</w:t>
      </w:r>
      <w:bookmarkEnd w:id="197"/>
    </w:p>
    <w:tbl>
      <w:tblPr>
        <w:tblStyle w:val="TableGrid"/>
        <w:tblpPr w:leftFromText="180" w:rightFromText="180" w:vertAnchor="text" w:tblpXSpec="center" w:tblpY="1"/>
        <w:tblOverlap w:val="never"/>
        <w:tblW w:w="5000" w:type="pct"/>
        <w:tblBorders>
          <w:insideH w:val="none" w:sz="0" w:space="0" w:color="auto"/>
          <w:insideV w:val="none" w:sz="0" w:space="0" w:color="auto"/>
        </w:tblBorders>
        <w:tblLook w:val="04A0" w:firstRow="1" w:lastRow="0" w:firstColumn="1" w:lastColumn="0" w:noHBand="0" w:noVBand="1"/>
      </w:tblPr>
      <w:tblGrid>
        <w:gridCol w:w="791"/>
        <w:gridCol w:w="1791"/>
        <w:gridCol w:w="2956"/>
        <w:gridCol w:w="2984"/>
      </w:tblGrid>
      <w:tr w:rsidR="00687185" w:rsidRPr="005A49D3" w:rsidTr="00687185">
        <w:trPr>
          <w:trHeight w:val="20"/>
          <w:tblHeader/>
        </w:trPr>
        <w:tc>
          <w:tcPr>
            <w:tcW w:w="791" w:type="dxa"/>
            <w:shd w:val="clear" w:color="auto" w:fill="DDEBF7"/>
          </w:tcPr>
          <w:p w:rsidR="00622CB6" w:rsidRPr="005A49D3" w:rsidRDefault="00622CB6" w:rsidP="00687185">
            <w:pPr>
              <w:jc w:val="center"/>
              <w:rPr>
                <w:rFonts w:asciiTheme="majorBidi" w:hAnsiTheme="majorBidi" w:cstheme="majorBidi"/>
                <w:b/>
                <w:bCs/>
                <w:sz w:val="22"/>
                <w:szCs w:val="22"/>
                <w:rtl/>
              </w:rPr>
            </w:pPr>
            <w:r w:rsidRPr="005A49D3">
              <w:rPr>
                <w:rFonts w:asciiTheme="majorBidi" w:hAnsiTheme="majorBidi" w:cstheme="majorBidi"/>
                <w:b/>
                <w:bCs/>
                <w:sz w:val="22"/>
                <w:szCs w:val="22"/>
              </w:rPr>
              <w:t>No.</w:t>
            </w:r>
          </w:p>
        </w:tc>
        <w:tc>
          <w:tcPr>
            <w:tcW w:w="1791" w:type="dxa"/>
            <w:shd w:val="clear" w:color="auto" w:fill="DDEBF7"/>
          </w:tcPr>
          <w:p w:rsidR="00622CB6" w:rsidRPr="005A49D3" w:rsidRDefault="00622CB6" w:rsidP="00687185">
            <w:pPr>
              <w:jc w:val="center"/>
              <w:rPr>
                <w:rFonts w:asciiTheme="majorBidi" w:hAnsiTheme="majorBidi" w:cstheme="majorBidi"/>
                <w:b/>
                <w:bCs/>
                <w:sz w:val="22"/>
                <w:szCs w:val="22"/>
                <w:rtl/>
              </w:rPr>
            </w:pPr>
            <w:r w:rsidRPr="005A49D3">
              <w:rPr>
                <w:rFonts w:asciiTheme="majorBidi" w:hAnsiTheme="majorBidi" w:cstheme="majorBidi"/>
                <w:b/>
                <w:bCs/>
                <w:sz w:val="22"/>
                <w:szCs w:val="22"/>
              </w:rPr>
              <w:t>Province</w:t>
            </w:r>
          </w:p>
        </w:tc>
        <w:tc>
          <w:tcPr>
            <w:tcW w:w="2956" w:type="dxa"/>
            <w:shd w:val="clear" w:color="auto" w:fill="DDEBF7"/>
          </w:tcPr>
          <w:p w:rsidR="00622CB6" w:rsidRPr="005A49D3" w:rsidRDefault="00622CB6" w:rsidP="00687185">
            <w:pPr>
              <w:jc w:val="center"/>
              <w:rPr>
                <w:rFonts w:asciiTheme="majorBidi" w:hAnsiTheme="majorBidi" w:cstheme="majorBidi"/>
                <w:b/>
                <w:bCs/>
                <w:sz w:val="22"/>
                <w:szCs w:val="22"/>
                <w:rtl/>
              </w:rPr>
            </w:pPr>
            <w:r w:rsidRPr="005A49D3">
              <w:rPr>
                <w:rFonts w:asciiTheme="majorBidi" w:hAnsiTheme="majorBidi" w:cstheme="majorBidi"/>
                <w:b/>
                <w:bCs/>
                <w:sz w:val="22"/>
                <w:szCs w:val="22"/>
              </w:rPr>
              <w:t>Number of Participants</w:t>
            </w:r>
          </w:p>
        </w:tc>
        <w:tc>
          <w:tcPr>
            <w:tcW w:w="2984" w:type="dxa"/>
            <w:shd w:val="clear" w:color="auto" w:fill="DDEBF7"/>
          </w:tcPr>
          <w:p w:rsidR="00622CB6" w:rsidRPr="005A49D3" w:rsidRDefault="00622CB6" w:rsidP="00687185">
            <w:pPr>
              <w:jc w:val="center"/>
              <w:rPr>
                <w:rFonts w:asciiTheme="majorBidi" w:hAnsiTheme="majorBidi" w:cstheme="majorBidi"/>
                <w:b/>
                <w:bCs/>
                <w:sz w:val="22"/>
                <w:szCs w:val="22"/>
                <w:rtl/>
              </w:rPr>
            </w:pPr>
            <w:r w:rsidRPr="005A49D3">
              <w:rPr>
                <w:rFonts w:asciiTheme="majorBidi" w:hAnsiTheme="majorBidi" w:cstheme="majorBidi"/>
                <w:b/>
                <w:bCs/>
                <w:sz w:val="22"/>
                <w:szCs w:val="22"/>
              </w:rPr>
              <w:t>Number of Requirements</w:t>
            </w:r>
          </w:p>
        </w:tc>
      </w:tr>
      <w:tr w:rsidR="00622CB6" w:rsidRPr="005A49D3" w:rsidTr="00687185">
        <w:trPr>
          <w:trHeight w:val="20"/>
        </w:trPr>
        <w:tc>
          <w:tcPr>
            <w:tcW w:w="791" w:type="dxa"/>
            <w:vAlign w:val="center"/>
          </w:tcPr>
          <w:p w:rsidR="00622CB6" w:rsidRPr="005A49D3" w:rsidRDefault="00622CB6" w:rsidP="00687185">
            <w:pPr>
              <w:jc w:val="center"/>
              <w:rPr>
                <w:rFonts w:asciiTheme="majorBidi" w:hAnsiTheme="majorBidi" w:cstheme="majorBidi"/>
                <w:sz w:val="22"/>
                <w:szCs w:val="22"/>
                <w:rtl/>
              </w:rPr>
            </w:pPr>
            <w:r w:rsidRPr="005A49D3">
              <w:rPr>
                <w:rFonts w:asciiTheme="majorBidi" w:hAnsiTheme="majorBidi" w:cstheme="majorBidi"/>
                <w:sz w:val="22"/>
                <w:szCs w:val="22"/>
                <w:rtl/>
              </w:rPr>
              <w:t>1</w:t>
            </w:r>
          </w:p>
        </w:tc>
        <w:tc>
          <w:tcPr>
            <w:tcW w:w="1791" w:type="dxa"/>
          </w:tcPr>
          <w:p w:rsidR="00622CB6" w:rsidRPr="005A49D3" w:rsidRDefault="00622CB6" w:rsidP="00687185">
            <w:pPr>
              <w:jc w:val="both"/>
              <w:rPr>
                <w:rFonts w:asciiTheme="majorBidi" w:hAnsiTheme="majorBidi" w:cstheme="majorBidi"/>
                <w:sz w:val="22"/>
                <w:szCs w:val="22"/>
                <w:rtl/>
              </w:rPr>
            </w:pPr>
            <w:r w:rsidRPr="005A49D3">
              <w:rPr>
                <w:rFonts w:asciiTheme="majorBidi" w:hAnsiTheme="majorBidi" w:cstheme="majorBidi"/>
                <w:sz w:val="22"/>
                <w:szCs w:val="22"/>
              </w:rPr>
              <w:t>Kabul</w:t>
            </w:r>
          </w:p>
        </w:tc>
        <w:tc>
          <w:tcPr>
            <w:tcW w:w="2956" w:type="dxa"/>
            <w:vAlign w:val="center"/>
          </w:tcPr>
          <w:p w:rsidR="00622CB6" w:rsidRPr="005A49D3" w:rsidRDefault="003771C5" w:rsidP="00687185">
            <w:pPr>
              <w:jc w:val="center"/>
              <w:rPr>
                <w:rFonts w:asciiTheme="majorBidi" w:hAnsiTheme="majorBidi" w:cstheme="majorBidi"/>
                <w:sz w:val="22"/>
                <w:szCs w:val="22"/>
                <w:rtl/>
              </w:rPr>
            </w:pPr>
            <w:r>
              <w:rPr>
                <w:rFonts w:asciiTheme="majorBidi" w:hAnsiTheme="majorBidi" w:cstheme="majorBidi"/>
                <w:sz w:val="22"/>
                <w:szCs w:val="22"/>
              </w:rPr>
              <w:t>90</w:t>
            </w:r>
          </w:p>
        </w:tc>
        <w:tc>
          <w:tcPr>
            <w:tcW w:w="2984" w:type="dxa"/>
            <w:vAlign w:val="center"/>
          </w:tcPr>
          <w:p w:rsidR="00622CB6" w:rsidRPr="005A49D3" w:rsidRDefault="003771C5" w:rsidP="00687185">
            <w:pPr>
              <w:jc w:val="center"/>
              <w:rPr>
                <w:rFonts w:asciiTheme="majorBidi" w:hAnsiTheme="majorBidi" w:cstheme="majorBidi"/>
                <w:sz w:val="22"/>
                <w:szCs w:val="22"/>
                <w:rtl/>
              </w:rPr>
            </w:pPr>
            <w:r>
              <w:rPr>
                <w:rFonts w:asciiTheme="majorBidi" w:hAnsiTheme="majorBidi" w:cstheme="majorBidi"/>
                <w:sz w:val="22"/>
                <w:szCs w:val="22"/>
              </w:rPr>
              <w:t>108</w:t>
            </w:r>
          </w:p>
        </w:tc>
      </w:tr>
      <w:tr w:rsidR="00622CB6" w:rsidRPr="005A49D3" w:rsidTr="00687185">
        <w:trPr>
          <w:trHeight w:val="20"/>
        </w:trPr>
        <w:tc>
          <w:tcPr>
            <w:tcW w:w="791" w:type="dxa"/>
            <w:vAlign w:val="center"/>
          </w:tcPr>
          <w:p w:rsidR="00622CB6" w:rsidRPr="005A49D3" w:rsidRDefault="00622CB6" w:rsidP="00687185">
            <w:pPr>
              <w:jc w:val="center"/>
              <w:rPr>
                <w:rFonts w:asciiTheme="majorBidi" w:hAnsiTheme="majorBidi" w:cstheme="majorBidi"/>
                <w:sz w:val="22"/>
                <w:szCs w:val="22"/>
                <w:rtl/>
              </w:rPr>
            </w:pPr>
            <w:r w:rsidRPr="005A49D3">
              <w:rPr>
                <w:rFonts w:asciiTheme="majorBidi" w:hAnsiTheme="majorBidi" w:cstheme="majorBidi"/>
                <w:sz w:val="22"/>
                <w:szCs w:val="22"/>
                <w:rtl/>
              </w:rPr>
              <w:t>2</w:t>
            </w:r>
          </w:p>
        </w:tc>
        <w:tc>
          <w:tcPr>
            <w:tcW w:w="1791" w:type="dxa"/>
          </w:tcPr>
          <w:p w:rsidR="00622CB6" w:rsidRPr="005A49D3" w:rsidRDefault="00622CB6" w:rsidP="00687185">
            <w:pPr>
              <w:jc w:val="both"/>
              <w:rPr>
                <w:rFonts w:asciiTheme="majorBidi" w:hAnsiTheme="majorBidi" w:cstheme="majorBidi"/>
                <w:sz w:val="22"/>
                <w:szCs w:val="22"/>
                <w:rtl/>
              </w:rPr>
            </w:pPr>
            <w:r w:rsidRPr="005A49D3">
              <w:rPr>
                <w:rFonts w:asciiTheme="majorBidi" w:hAnsiTheme="majorBidi" w:cstheme="majorBidi"/>
                <w:sz w:val="22"/>
                <w:szCs w:val="22"/>
              </w:rPr>
              <w:t>Balkh</w:t>
            </w:r>
          </w:p>
        </w:tc>
        <w:tc>
          <w:tcPr>
            <w:tcW w:w="2956" w:type="dxa"/>
            <w:vAlign w:val="center"/>
          </w:tcPr>
          <w:p w:rsidR="00622CB6" w:rsidRPr="005A49D3" w:rsidRDefault="003771C5" w:rsidP="00687185">
            <w:pPr>
              <w:jc w:val="center"/>
              <w:rPr>
                <w:rFonts w:asciiTheme="majorBidi" w:hAnsiTheme="majorBidi" w:cstheme="majorBidi"/>
                <w:sz w:val="22"/>
                <w:szCs w:val="22"/>
                <w:rtl/>
              </w:rPr>
            </w:pPr>
            <w:r>
              <w:rPr>
                <w:rFonts w:asciiTheme="majorBidi" w:hAnsiTheme="majorBidi" w:cstheme="majorBidi"/>
                <w:sz w:val="22"/>
                <w:szCs w:val="22"/>
              </w:rPr>
              <w:t>140</w:t>
            </w:r>
          </w:p>
        </w:tc>
        <w:tc>
          <w:tcPr>
            <w:tcW w:w="2984" w:type="dxa"/>
            <w:vAlign w:val="center"/>
          </w:tcPr>
          <w:p w:rsidR="00622CB6" w:rsidRPr="005A49D3" w:rsidRDefault="003771C5" w:rsidP="00687185">
            <w:pPr>
              <w:jc w:val="center"/>
              <w:rPr>
                <w:rFonts w:asciiTheme="majorBidi" w:hAnsiTheme="majorBidi" w:cstheme="majorBidi"/>
                <w:sz w:val="22"/>
                <w:szCs w:val="22"/>
                <w:rtl/>
              </w:rPr>
            </w:pPr>
            <w:r>
              <w:rPr>
                <w:rFonts w:asciiTheme="majorBidi" w:hAnsiTheme="majorBidi" w:cstheme="majorBidi"/>
                <w:sz w:val="22"/>
                <w:szCs w:val="22"/>
              </w:rPr>
              <w:t>210</w:t>
            </w:r>
          </w:p>
        </w:tc>
      </w:tr>
      <w:tr w:rsidR="00622CB6" w:rsidRPr="005A49D3" w:rsidTr="00687185">
        <w:trPr>
          <w:trHeight w:val="20"/>
        </w:trPr>
        <w:tc>
          <w:tcPr>
            <w:tcW w:w="791" w:type="dxa"/>
            <w:vAlign w:val="center"/>
          </w:tcPr>
          <w:p w:rsidR="00622CB6" w:rsidRPr="005A49D3" w:rsidRDefault="00622CB6" w:rsidP="00687185">
            <w:pPr>
              <w:jc w:val="center"/>
              <w:rPr>
                <w:rFonts w:asciiTheme="majorBidi" w:hAnsiTheme="majorBidi" w:cstheme="majorBidi"/>
                <w:sz w:val="22"/>
                <w:szCs w:val="22"/>
                <w:rtl/>
              </w:rPr>
            </w:pPr>
            <w:r w:rsidRPr="005A49D3">
              <w:rPr>
                <w:rFonts w:asciiTheme="majorBidi" w:hAnsiTheme="majorBidi" w:cstheme="majorBidi"/>
                <w:sz w:val="22"/>
                <w:szCs w:val="22"/>
                <w:rtl/>
              </w:rPr>
              <w:t>3</w:t>
            </w:r>
          </w:p>
        </w:tc>
        <w:tc>
          <w:tcPr>
            <w:tcW w:w="1791" w:type="dxa"/>
          </w:tcPr>
          <w:p w:rsidR="00622CB6" w:rsidRPr="005A49D3" w:rsidRDefault="00622CB6" w:rsidP="00687185">
            <w:pPr>
              <w:jc w:val="both"/>
              <w:rPr>
                <w:rFonts w:asciiTheme="majorBidi" w:hAnsiTheme="majorBidi" w:cstheme="majorBidi"/>
                <w:sz w:val="22"/>
                <w:szCs w:val="22"/>
                <w:rtl/>
              </w:rPr>
            </w:pPr>
            <w:r w:rsidRPr="005A49D3">
              <w:rPr>
                <w:rFonts w:asciiTheme="majorBidi" w:hAnsiTheme="majorBidi" w:cstheme="majorBidi"/>
                <w:sz w:val="22"/>
                <w:szCs w:val="22"/>
              </w:rPr>
              <w:t>Herat</w:t>
            </w:r>
          </w:p>
        </w:tc>
        <w:tc>
          <w:tcPr>
            <w:tcW w:w="2956" w:type="dxa"/>
            <w:vAlign w:val="center"/>
          </w:tcPr>
          <w:p w:rsidR="00622CB6" w:rsidRPr="005A49D3" w:rsidRDefault="003771C5" w:rsidP="00687185">
            <w:pPr>
              <w:jc w:val="center"/>
              <w:rPr>
                <w:rFonts w:asciiTheme="majorBidi" w:hAnsiTheme="majorBidi" w:cstheme="majorBidi"/>
                <w:sz w:val="22"/>
                <w:szCs w:val="22"/>
                <w:rtl/>
              </w:rPr>
            </w:pPr>
            <w:r>
              <w:rPr>
                <w:rFonts w:asciiTheme="majorBidi" w:hAnsiTheme="majorBidi" w:cstheme="majorBidi"/>
                <w:sz w:val="22"/>
                <w:szCs w:val="22"/>
              </w:rPr>
              <w:t>130</w:t>
            </w:r>
          </w:p>
        </w:tc>
        <w:tc>
          <w:tcPr>
            <w:tcW w:w="2984" w:type="dxa"/>
            <w:vAlign w:val="center"/>
          </w:tcPr>
          <w:p w:rsidR="00622CB6" w:rsidRPr="005A49D3" w:rsidRDefault="003771C5" w:rsidP="00687185">
            <w:pPr>
              <w:jc w:val="center"/>
              <w:rPr>
                <w:rFonts w:asciiTheme="majorBidi" w:hAnsiTheme="majorBidi" w:cstheme="majorBidi"/>
                <w:sz w:val="22"/>
                <w:szCs w:val="22"/>
                <w:rtl/>
              </w:rPr>
            </w:pPr>
            <w:r>
              <w:rPr>
                <w:rFonts w:asciiTheme="majorBidi" w:hAnsiTheme="majorBidi" w:cstheme="majorBidi"/>
                <w:sz w:val="22"/>
                <w:szCs w:val="22"/>
              </w:rPr>
              <w:t>109</w:t>
            </w:r>
          </w:p>
        </w:tc>
      </w:tr>
      <w:tr w:rsidR="00622CB6" w:rsidRPr="005A49D3" w:rsidTr="00687185">
        <w:trPr>
          <w:trHeight w:val="20"/>
        </w:trPr>
        <w:tc>
          <w:tcPr>
            <w:tcW w:w="791" w:type="dxa"/>
            <w:vAlign w:val="center"/>
          </w:tcPr>
          <w:p w:rsidR="00622CB6" w:rsidRPr="005A49D3" w:rsidRDefault="00622CB6" w:rsidP="00687185">
            <w:pPr>
              <w:jc w:val="center"/>
              <w:rPr>
                <w:rFonts w:asciiTheme="majorBidi" w:hAnsiTheme="majorBidi" w:cstheme="majorBidi"/>
                <w:sz w:val="22"/>
                <w:szCs w:val="22"/>
                <w:rtl/>
              </w:rPr>
            </w:pPr>
            <w:r w:rsidRPr="005A49D3">
              <w:rPr>
                <w:rFonts w:asciiTheme="majorBidi" w:hAnsiTheme="majorBidi" w:cstheme="majorBidi"/>
                <w:sz w:val="22"/>
                <w:szCs w:val="22"/>
                <w:rtl/>
              </w:rPr>
              <w:t>4</w:t>
            </w:r>
          </w:p>
        </w:tc>
        <w:tc>
          <w:tcPr>
            <w:tcW w:w="1791" w:type="dxa"/>
          </w:tcPr>
          <w:p w:rsidR="00622CB6" w:rsidRPr="005A49D3" w:rsidRDefault="00622CB6" w:rsidP="00687185">
            <w:pPr>
              <w:jc w:val="both"/>
              <w:rPr>
                <w:rFonts w:asciiTheme="majorBidi" w:hAnsiTheme="majorBidi" w:cstheme="majorBidi"/>
                <w:sz w:val="22"/>
                <w:szCs w:val="22"/>
                <w:rtl/>
              </w:rPr>
            </w:pPr>
            <w:r w:rsidRPr="005A49D3">
              <w:rPr>
                <w:rFonts w:asciiTheme="majorBidi" w:hAnsiTheme="majorBidi" w:cstheme="majorBidi"/>
                <w:sz w:val="22"/>
                <w:szCs w:val="22"/>
              </w:rPr>
              <w:t>Kandahar</w:t>
            </w:r>
          </w:p>
        </w:tc>
        <w:tc>
          <w:tcPr>
            <w:tcW w:w="2956" w:type="dxa"/>
            <w:vAlign w:val="center"/>
          </w:tcPr>
          <w:p w:rsidR="00622CB6" w:rsidRPr="005A49D3" w:rsidRDefault="003771C5" w:rsidP="00687185">
            <w:pPr>
              <w:jc w:val="center"/>
              <w:rPr>
                <w:rFonts w:asciiTheme="majorBidi" w:hAnsiTheme="majorBidi" w:cstheme="majorBidi"/>
                <w:sz w:val="22"/>
                <w:szCs w:val="22"/>
                <w:rtl/>
              </w:rPr>
            </w:pPr>
            <w:r>
              <w:rPr>
                <w:rFonts w:asciiTheme="majorBidi" w:hAnsiTheme="majorBidi" w:cstheme="majorBidi"/>
                <w:sz w:val="22"/>
                <w:szCs w:val="22"/>
              </w:rPr>
              <w:t>125</w:t>
            </w:r>
          </w:p>
        </w:tc>
        <w:tc>
          <w:tcPr>
            <w:tcW w:w="2984" w:type="dxa"/>
            <w:vAlign w:val="center"/>
          </w:tcPr>
          <w:p w:rsidR="00622CB6" w:rsidRPr="005A49D3" w:rsidRDefault="003771C5" w:rsidP="00687185">
            <w:pPr>
              <w:jc w:val="center"/>
              <w:rPr>
                <w:rFonts w:asciiTheme="majorBidi" w:hAnsiTheme="majorBidi" w:cstheme="majorBidi"/>
                <w:sz w:val="22"/>
                <w:szCs w:val="22"/>
                <w:rtl/>
              </w:rPr>
            </w:pPr>
            <w:r>
              <w:rPr>
                <w:rFonts w:asciiTheme="majorBidi" w:hAnsiTheme="majorBidi" w:cstheme="majorBidi"/>
                <w:sz w:val="22"/>
                <w:szCs w:val="22"/>
              </w:rPr>
              <w:t>111</w:t>
            </w:r>
          </w:p>
        </w:tc>
      </w:tr>
      <w:tr w:rsidR="00622CB6" w:rsidRPr="005A49D3" w:rsidTr="00687185">
        <w:trPr>
          <w:trHeight w:val="20"/>
        </w:trPr>
        <w:tc>
          <w:tcPr>
            <w:tcW w:w="791" w:type="dxa"/>
            <w:vAlign w:val="center"/>
          </w:tcPr>
          <w:p w:rsidR="00622CB6" w:rsidRPr="005A49D3" w:rsidRDefault="00622CB6" w:rsidP="00687185">
            <w:pPr>
              <w:jc w:val="center"/>
              <w:rPr>
                <w:rFonts w:asciiTheme="majorBidi" w:hAnsiTheme="majorBidi" w:cstheme="majorBidi"/>
                <w:sz w:val="22"/>
                <w:szCs w:val="22"/>
                <w:rtl/>
              </w:rPr>
            </w:pPr>
            <w:r w:rsidRPr="005A49D3">
              <w:rPr>
                <w:rFonts w:asciiTheme="majorBidi" w:hAnsiTheme="majorBidi" w:cstheme="majorBidi"/>
                <w:sz w:val="22"/>
                <w:szCs w:val="22"/>
                <w:rtl/>
              </w:rPr>
              <w:t>5</w:t>
            </w:r>
          </w:p>
        </w:tc>
        <w:tc>
          <w:tcPr>
            <w:tcW w:w="1791" w:type="dxa"/>
          </w:tcPr>
          <w:p w:rsidR="00622CB6" w:rsidRPr="005A49D3" w:rsidRDefault="00622CB6" w:rsidP="00687185">
            <w:pPr>
              <w:jc w:val="both"/>
              <w:rPr>
                <w:rFonts w:asciiTheme="majorBidi" w:hAnsiTheme="majorBidi" w:cstheme="majorBidi"/>
                <w:sz w:val="22"/>
                <w:szCs w:val="22"/>
                <w:rtl/>
              </w:rPr>
            </w:pPr>
            <w:r w:rsidRPr="005A49D3">
              <w:rPr>
                <w:rFonts w:asciiTheme="majorBidi" w:hAnsiTheme="majorBidi" w:cstheme="majorBidi"/>
                <w:sz w:val="22"/>
                <w:szCs w:val="22"/>
              </w:rPr>
              <w:t>Nangarhar</w:t>
            </w:r>
          </w:p>
        </w:tc>
        <w:tc>
          <w:tcPr>
            <w:tcW w:w="2956" w:type="dxa"/>
            <w:vAlign w:val="center"/>
          </w:tcPr>
          <w:p w:rsidR="00622CB6" w:rsidRPr="005A49D3" w:rsidRDefault="003771C5" w:rsidP="00687185">
            <w:pPr>
              <w:jc w:val="center"/>
              <w:rPr>
                <w:rFonts w:asciiTheme="majorBidi" w:hAnsiTheme="majorBidi" w:cstheme="majorBidi"/>
                <w:sz w:val="22"/>
                <w:szCs w:val="22"/>
                <w:rtl/>
              </w:rPr>
            </w:pPr>
            <w:r>
              <w:rPr>
                <w:rFonts w:asciiTheme="majorBidi" w:hAnsiTheme="majorBidi" w:cstheme="majorBidi"/>
                <w:sz w:val="22"/>
                <w:szCs w:val="22"/>
              </w:rPr>
              <w:t>120</w:t>
            </w:r>
          </w:p>
        </w:tc>
        <w:tc>
          <w:tcPr>
            <w:tcW w:w="2984" w:type="dxa"/>
            <w:vAlign w:val="center"/>
          </w:tcPr>
          <w:p w:rsidR="00622CB6" w:rsidRPr="005A49D3" w:rsidRDefault="003771C5" w:rsidP="00687185">
            <w:pPr>
              <w:jc w:val="center"/>
              <w:rPr>
                <w:rFonts w:asciiTheme="majorBidi" w:hAnsiTheme="majorBidi" w:cstheme="majorBidi"/>
                <w:sz w:val="22"/>
                <w:szCs w:val="22"/>
                <w:rtl/>
              </w:rPr>
            </w:pPr>
            <w:r>
              <w:rPr>
                <w:rFonts w:asciiTheme="majorBidi" w:hAnsiTheme="majorBidi" w:cstheme="majorBidi"/>
                <w:sz w:val="22"/>
                <w:szCs w:val="22"/>
              </w:rPr>
              <w:t>219</w:t>
            </w:r>
          </w:p>
        </w:tc>
      </w:tr>
      <w:tr w:rsidR="00622CB6" w:rsidRPr="005A49D3" w:rsidTr="00687185">
        <w:trPr>
          <w:trHeight w:val="20"/>
        </w:trPr>
        <w:tc>
          <w:tcPr>
            <w:tcW w:w="2582" w:type="dxa"/>
            <w:gridSpan w:val="2"/>
            <w:shd w:val="clear" w:color="auto" w:fill="DDEBF7"/>
          </w:tcPr>
          <w:p w:rsidR="00622CB6" w:rsidRPr="005A49D3" w:rsidRDefault="00622CB6" w:rsidP="00687185">
            <w:pPr>
              <w:jc w:val="center"/>
              <w:rPr>
                <w:rFonts w:asciiTheme="majorBidi" w:hAnsiTheme="majorBidi" w:cstheme="majorBidi"/>
                <w:b/>
                <w:bCs/>
                <w:sz w:val="22"/>
                <w:szCs w:val="22"/>
                <w:rtl/>
              </w:rPr>
            </w:pPr>
            <w:r w:rsidRPr="005A49D3">
              <w:rPr>
                <w:rFonts w:asciiTheme="majorBidi" w:hAnsiTheme="majorBidi" w:cstheme="majorBidi"/>
                <w:b/>
                <w:bCs/>
                <w:sz w:val="22"/>
                <w:szCs w:val="22"/>
              </w:rPr>
              <w:t>Total</w:t>
            </w:r>
          </w:p>
        </w:tc>
        <w:tc>
          <w:tcPr>
            <w:tcW w:w="2956" w:type="dxa"/>
            <w:shd w:val="clear" w:color="auto" w:fill="DDEBF7"/>
            <w:vAlign w:val="center"/>
          </w:tcPr>
          <w:p w:rsidR="00622CB6" w:rsidRPr="005A49D3" w:rsidRDefault="003771C5" w:rsidP="00687185">
            <w:pPr>
              <w:jc w:val="center"/>
              <w:rPr>
                <w:rFonts w:asciiTheme="majorBidi" w:hAnsiTheme="majorBidi" w:cstheme="majorBidi"/>
                <w:b/>
                <w:bCs/>
                <w:sz w:val="22"/>
                <w:szCs w:val="22"/>
                <w:rtl/>
              </w:rPr>
            </w:pPr>
            <w:r>
              <w:rPr>
                <w:rFonts w:asciiTheme="majorBidi" w:hAnsiTheme="majorBidi" w:cstheme="majorBidi"/>
                <w:b/>
                <w:bCs/>
                <w:sz w:val="22"/>
                <w:szCs w:val="22"/>
              </w:rPr>
              <w:t>605</w:t>
            </w:r>
          </w:p>
        </w:tc>
        <w:tc>
          <w:tcPr>
            <w:tcW w:w="2984" w:type="dxa"/>
            <w:shd w:val="clear" w:color="auto" w:fill="DDEBF7"/>
            <w:vAlign w:val="center"/>
          </w:tcPr>
          <w:p w:rsidR="00622CB6" w:rsidRPr="005A49D3" w:rsidRDefault="003771C5" w:rsidP="00687185">
            <w:pPr>
              <w:jc w:val="center"/>
              <w:rPr>
                <w:rFonts w:asciiTheme="majorBidi" w:hAnsiTheme="majorBidi" w:cstheme="majorBidi"/>
                <w:b/>
                <w:bCs/>
                <w:sz w:val="22"/>
                <w:szCs w:val="22"/>
                <w:rtl/>
              </w:rPr>
            </w:pPr>
            <w:r>
              <w:rPr>
                <w:rFonts w:asciiTheme="majorBidi" w:hAnsiTheme="majorBidi" w:cstheme="majorBidi"/>
                <w:b/>
                <w:bCs/>
                <w:sz w:val="22"/>
                <w:szCs w:val="22"/>
              </w:rPr>
              <w:t>757</w:t>
            </w:r>
          </w:p>
        </w:tc>
      </w:tr>
    </w:tbl>
    <w:p w:rsidR="00622CB6" w:rsidRPr="005A49D3" w:rsidRDefault="00622CB6" w:rsidP="00622CB6">
      <w:pPr>
        <w:jc w:val="both"/>
        <w:rPr>
          <w:rFonts w:asciiTheme="majorBidi" w:hAnsiTheme="majorBidi" w:cstheme="majorBidi"/>
          <w:szCs w:val="22"/>
          <w:rtl/>
        </w:rPr>
      </w:pPr>
    </w:p>
    <w:p w:rsidR="00622CB6" w:rsidRPr="00A00C6A" w:rsidRDefault="00622CB6" w:rsidP="00622CB6">
      <w:pPr>
        <w:jc w:val="both"/>
        <w:rPr>
          <w:spacing w:val="-2"/>
          <w:szCs w:val="22"/>
        </w:rPr>
      </w:pPr>
      <w:r w:rsidRPr="00A00C6A">
        <w:rPr>
          <w:spacing w:val="-2"/>
          <w:szCs w:val="22"/>
        </w:rPr>
        <w:t>All government departments are requested to consider at least two or three public needs in their fiscal year 1398 budget plans, and include those projects that could not be funded due to financial constraints in their budgets for the years 1399-1401.</w:t>
      </w:r>
    </w:p>
    <w:p w:rsidR="00622CB6" w:rsidRPr="00A00C6A" w:rsidRDefault="00622CB6" w:rsidP="00622CB6">
      <w:pPr>
        <w:jc w:val="both"/>
        <w:rPr>
          <w:spacing w:val="-2"/>
          <w:szCs w:val="22"/>
        </w:rPr>
      </w:pPr>
      <w:r w:rsidRPr="00A00C6A">
        <w:rPr>
          <w:spacing w:val="-2"/>
          <w:szCs w:val="22"/>
        </w:rPr>
        <w:lastRenderedPageBreak/>
        <w:t>For proposals that already exist in the budget plans of the entities as ongoing projects, they are asked to provide the following information: (i) specify the completion period of the project (ii) the implementation problems (iii) Funding constraints.</w:t>
      </w:r>
    </w:p>
    <w:p w:rsidR="00622CB6" w:rsidRPr="005A49D3" w:rsidRDefault="00622CB6" w:rsidP="00A63524">
      <w:pPr>
        <w:pStyle w:val="Heading4"/>
        <w:rPr>
          <w:rtl/>
        </w:rPr>
      </w:pPr>
      <w:r w:rsidRPr="005A49D3">
        <w:t>Funding Options</w:t>
      </w:r>
    </w:p>
    <w:p w:rsidR="00622CB6" w:rsidRPr="00A00C6A" w:rsidRDefault="00622CB6" w:rsidP="00A00C6A">
      <w:pPr>
        <w:jc w:val="both"/>
        <w:rPr>
          <w:spacing w:val="-2"/>
          <w:szCs w:val="22"/>
        </w:rPr>
      </w:pPr>
      <w:r w:rsidRPr="00A00C6A">
        <w:rPr>
          <w:spacing w:val="-2"/>
          <w:szCs w:val="22"/>
        </w:rPr>
        <w:t>A considerable number of suggestions from Town Hall Meetings are considered in 1398 budget, and the rest can be funded in the following cases:</w:t>
      </w:r>
    </w:p>
    <w:p w:rsidR="00622CB6" w:rsidRPr="00A00C6A" w:rsidRDefault="00622CB6" w:rsidP="00A00C6A">
      <w:pPr>
        <w:pStyle w:val="ListParagraph"/>
        <w:numPr>
          <w:ilvl w:val="0"/>
          <w:numId w:val="41"/>
        </w:numPr>
        <w:jc w:val="both"/>
        <w:rPr>
          <w:spacing w:val="-2"/>
          <w:szCs w:val="22"/>
        </w:rPr>
      </w:pPr>
      <w:r w:rsidRPr="00A00C6A">
        <w:rPr>
          <w:spacing w:val="-2"/>
          <w:szCs w:val="22"/>
        </w:rPr>
        <w:t>Available resources (discretionary) – These resources include the budget ceiling which have already been confirmed in the budget hearing sessions;</w:t>
      </w:r>
    </w:p>
    <w:p w:rsidR="00622CB6" w:rsidRPr="00A00C6A" w:rsidRDefault="00622CB6" w:rsidP="00A00C6A">
      <w:pPr>
        <w:pStyle w:val="ListParagraph"/>
        <w:numPr>
          <w:ilvl w:val="0"/>
          <w:numId w:val="41"/>
        </w:numPr>
        <w:jc w:val="both"/>
        <w:rPr>
          <w:spacing w:val="-2"/>
          <w:szCs w:val="22"/>
        </w:rPr>
      </w:pPr>
      <w:r w:rsidRPr="00A00C6A">
        <w:rPr>
          <w:spacing w:val="-2"/>
          <w:szCs w:val="22"/>
        </w:rPr>
        <w:t>Unconditional funds – This is the contingency fund allocated Afs 70 million annually for every province.</w:t>
      </w:r>
    </w:p>
    <w:p w:rsidR="00622CB6" w:rsidRPr="00A00C6A" w:rsidRDefault="00622CB6" w:rsidP="00622CB6">
      <w:pPr>
        <w:jc w:val="both"/>
        <w:rPr>
          <w:spacing w:val="-4"/>
          <w:szCs w:val="22"/>
        </w:rPr>
      </w:pPr>
      <w:r w:rsidRPr="00A00C6A">
        <w:rPr>
          <w:spacing w:val="-4"/>
          <w:szCs w:val="22"/>
        </w:rPr>
        <w:t>The funding option for every project is selected by the relevant entity. Once the projects list is received from all entities through official letter or email, the MoF shares the public recommendations list developed by the concerned entities, with all the provinces through the IDLG.</w:t>
      </w:r>
    </w:p>
    <w:p w:rsidR="00561060" w:rsidRPr="00A63524" w:rsidRDefault="00561060" w:rsidP="00A63524">
      <w:pPr>
        <w:pStyle w:val="Heading2"/>
        <w:rPr>
          <w:rFonts w:eastAsia="Arial"/>
        </w:rPr>
      </w:pPr>
      <w:bookmarkStart w:id="198" w:name="_Toc535744333"/>
      <w:bookmarkStart w:id="199" w:name="_Toc535750261"/>
      <w:r w:rsidRPr="00A63524">
        <w:rPr>
          <w:rFonts w:eastAsia="Arial"/>
        </w:rPr>
        <w:t>Citizen’s Charter</w:t>
      </w:r>
      <w:bookmarkEnd w:id="198"/>
      <w:bookmarkEnd w:id="199"/>
    </w:p>
    <w:p w:rsidR="00561060" w:rsidRPr="005A49D3" w:rsidRDefault="00561060" w:rsidP="00561060">
      <w:pPr>
        <w:spacing w:line="265" w:lineRule="auto"/>
        <w:ind w:right="366"/>
        <w:jc w:val="both"/>
        <w:rPr>
          <w:rFonts w:asciiTheme="minorHAnsi" w:eastAsia="Garamond" w:hAnsiTheme="minorHAnsi" w:cstheme="minorHAnsi"/>
          <w:szCs w:val="22"/>
        </w:rPr>
      </w:pPr>
      <w:r w:rsidRPr="005A49D3">
        <w:rPr>
          <w:rFonts w:asciiTheme="minorHAnsi" w:eastAsia="Arial" w:hAnsiTheme="minorHAnsi" w:cstheme="minorHAnsi"/>
          <w:szCs w:val="22"/>
        </w:rPr>
        <w:t>The Citizen’s Charter (CC) aims to realize the Government’s self</w:t>
      </w:r>
      <w:r w:rsidRPr="005A49D3">
        <w:rPr>
          <w:rFonts w:asciiTheme="minorHAnsi" w:eastAsia="Garamond" w:hAnsiTheme="minorHAnsi" w:cstheme="minorHAnsi"/>
          <w:szCs w:val="22"/>
        </w:rPr>
        <w:t>-reliance vision, set out in the</w:t>
      </w:r>
      <w:r w:rsidRPr="005A49D3">
        <w:rPr>
          <w:rFonts w:asciiTheme="minorHAnsi" w:eastAsia="Arial" w:hAnsiTheme="minorHAnsi" w:cstheme="minorHAnsi"/>
          <w:szCs w:val="22"/>
        </w:rPr>
        <w:t xml:space="preserve"> </w:t>
      </w:r>
      <w:r w:rsidRPr="005A49D3">
        <w:rPr>
          <w:rFonts w:asciiTheme="minorHAnsi" w:eastAsia="Garamond" w:hAnsiTheme="minorHAnsi" w:cstheme="minorHAnsi"/>
          <w:szCs w:val="22"/>
        </w:rPr>
        <w:t>ANPDF, through a partnership between the Afghan state and its thousands of communities.</w:t>
      </w:r>
    </w:p>
    <w:p w:rsidR="00561060" w:rsidRPr="00A00C6A" w:rsidRDefault="00561060" w:rsidP="00A00C6A">
      <w:pPr>
        <w:jc w:val="both"/>
        <w:rPr>
          <w:spacing w:val="-2"/>
          <w:szCs w:val="22"/>
        </w:rPr>
      </w:pPr>
      <w:r w:rsidRPr="00A00C6A">
        <w:rPr>
          <w:spacing w:val="-2"/>
          <w:szCs w:val="22"/>
        </w:rPr>
        <w:t>Building the National Solidarity Program, it works through a unified community-level budget and financial system, with mechanisms that ensure participation, equitable allocation of resources, transparency and accountability. Citizen’s Charter will improve basic services in education, health, basic rural infrastructure (including drinking water, roads, irrigation, and renewable energy), sanitation and waste removal, and agricultural extension services in rural and urban Afghanistan.</w:t>
      </w:r>
    </w:p>
    <w:p w:rsidR="00561060" w:rsidRPr="00A00C6A" w:rsidRDefault="00561060" w:rsidP="00A00C6A">
      <w:pPr>
        <w:jc w:val="both"/>
        <w:rPr>
          <w:spacing w:val="-2"/>
          <w:szCs w:val="22"/>
        </w:rPr>
      </w:pPr>
      <w:r w:rsidRPr="00A00C6A">
        <w:rPr>
          <w:spacing w:val="-2"/>
          <w:szCs w:val="22"/>
        </w:rPr>
        <w:t>The Citizens‟ Charter is an inter-ministerial effort to make the delivery of services, in rural and urban areas, more effective and citizen-centric. Six ministries – the Ministry of Finance, Ministry of Rural Rehabilitation and Development, Independent Directorate for Local Governance, the Ministry of Agriculture, Irrigation and Livestock, the Ministry of Education, and the Ministry of Public Health – are the key stakeholders in this national priority program.</w:t>
      </w:r>
    </w:p>
    <w:p w:rsidR="00561060" w:rsidRPr="00A00C6A" w:rsidRDefault="00561060" w:rsidP="00A00C6A">
      <w:pPr>
        <w:jc w:val="both"/>
        <w:rPr>
          <w:spacing w:val="-2"/>
          <w:szCs w:val="22"/>
        </w:rPr>
      </w:pPr>
      <w:r w:rsidRPr="00A00C6A">
        <w:rPr>
          <w:spacing w:val="-2"/>
          <w:szCs w:val="22"/>
        </w:rPr>
        <w:t>It will also contribute to breaking the cycle of fragility and violence, using and estimated 38,000 Community Development Councils (CDCs) as the entry point for both governance and development activities at the micro-level. The Citizens‟ Charter links rural communities, districts, provinces, and the central government and enables the Government to better respond to the needs of the people. At least 25 million citizens, half of them women, will benefit from the Charter</w:t>
      </w:r>
    </w:p>
    <w:p w:rsidR="00E7658B" w:rsidRPr="00A00C6A" w:rsidRDefault="00E7658B" w:rsidP="00A00C6A">
      <w:pPr>
        <w:jc w:val="both"/>
        <w:rPr>
          <w:spacing w:val="-2"/>
          <w:szCs w:val="22"/>
        </w:rPr>
      </w:pPr>
      <w:r w:rsidRPr="00A00C6A">
        <w:rPr>
          <w:spacing w:val="-2"/>
          <w:szCs w:val="22"/>
        </w:rPr>
        <w:t xml:space="preserve"> The Citizen’s Charter will be implemented in three phases over ten years at a cost of around AFN52.3 billion or USD 750 million funded by the Government of Afghanistan, the international community, and the World Bank.</w:t>
      </w:r>
    </w:p>
    <w:p w:rsidR="004F0155" w:rsidRDefault="004F0155" w:rsidP="00561060">
      <w:pPr>
        <w:spacing w:line="260" w:lineRule="auto"/>
        <w:ind w:right="366"/>
        <w:jc w:val="both"/>
        <w:rPr>
          <w:rFonts w:asciiTheme="minorHAnsi" w:eastAsia="Arial" w:hAnsiTheme="minorHAnsi" w:cstheme="minorHAnsi"/>
          <w:szCs w:val="22"/>
        </w:rPr>
        <w:sectPr w:rsidR="004F0155" w:rsidSect="004F0155">
          <w:pgSz w:w="11906" w:h="16838" w:code="9"/>
          <w:pgMar w:top="1440" w:right="1800" w:bottom="1440" w:left="1800" w:header="720" w:footer="720" w:gutter="0"/>
          <w:cols w:space="708"/>
          <w:docGrid w:linePitch="360"/>
        </w:sectPr>
      </w:pPr>
    </w:p>
    <w:p w:rsidR="004F0155" w:rsidRDefault="004F0155" w:rsidP="00561060">
      <w:pPr>
        <w:spacing w:line="260" w:lineRule="auto"/>
        <w:ind w:right="366"/>
        <w:jc w:val="both"/>
        <w:rPr>
          <w:rFonts w:asciiTheme="minorHAnsi" w:eastAsia="Arial" w:hAnsiTheme="minorHAnsi" w:cstheme="minorHAnsi"/>
          <w:szCs w:val="22"/>
        </w:rPr>
      </w:pPr>
    </w:p>
    <w:p w:rsidR="00D13154" w:rsidRPr="00D13154" w:rsidRDefault="00D13154" w:rsidP="00D13154">
      <w:pPr>
        <w:pStyle w:val="Caption"/>
        <w:bidi w:val="0"/>
        <w:rPr>
          <w:rFonts w:ascii="Garamond" w:hAnsi="Garamond"/>
          <w:sz w:val="22"/>
          <w:szCs w:val="22"/>
        </w:rPr>
      </w:pPr>
      <w:bookmarkStart w:id="200" w:name="_Toc535750277"/>
      <w:bookmarkStart w:id="201" w:name="_Toc529090697"/>
      <w:bookmarkStart w:id="202" w:name="_Toc529119688"/>
      <w:r w:rsidRPr="00D13154">
        <w:rPr>
          <w:rFonts w:ascii="Garamond" w:hAnsi="Garamond"/>
          <w:sz w:val="22"/>
          <w:szCs w:val="22"/>
        </w:rPr>
        <w:t xml:space="preserve">Table </w:t>
      </w:r>
      <w:r w:rsidRPr="00D13154">
        <w:rPr>
          <w:rFonts w:ascii="Garamond" w:hAnsi="Garamond"/>
          <w:sz w:val="22"/>
          <w:szCs w:val="22"/>
        </w:rPr>
        <w:fldChar w:fldCharType="begin"/>
      </w:r>
      <w:r w:rsidRPr="00D13154">
        <w:rPr>
          <w:rFonts w:ascii="Garamond" w:hAnsi="Garamond"/>
          <w:sz w:val="22"/>
          <w:szCs w:val="22"/>
        </w:rPr>
        <w:instrText xml:space="preserve"> SEQ Table \* ARABIC </w:instrText>
      </w:r>
      <w:r w:rsidRPr="00D13154">
        <w:rPr>
          <w:rFonts w:ascii="Garamond" w:hAnsi="Garamond"/>
          <w:sz w:val="22"/>
          <w:szCs w:val="22"/>
        </w:rPr>
        <w:fldChar w:fldCharType="separate"/>
      </w:r>
      <w:r w:rsidR="00862183">
        <w:rPr>
          <w:rFonts w:ascii="Garamond" w:hAnsi="Garamond"/>
          <w:noProof/>
          <w:sz w:val="22"/>
          <w:szCs w:val="22"/>
        </w:rPr>
        <w:t>16</w:t>
      </w:r>
      <w:r w:rsidRPr="00D13154">
        <w:rPr>
          <w:rFonts w:ascii="Garamond" w:hAnsi="Garamond"/>
          <w:sz w:val="22"/>
          <w:szCs w:val="22"/>
        </w:rPr>
        <w:fldChar w:fldCharType="end"/>
      </w:r>
      <w:r>
        <w:rPr>
          <w:rFonts w:ascii="Garamond" w:hAnsi="Garamond"/>
          <w:sz w:val="22"/>
          <w:szCs w:val="22"/>
        </w:rPr>
        <w:t xml:space="preserve"> </w:t>
      </w:r>
      <w:r w:rsidRPr="00D13154">
        <w:rPr>
          <w:rFonts w:ascii="Garamond" w:hAnsi="Garamond"/>
          <w:sz w:val="22"/>
          <w:szCs w:val="22"/>
        </w:rPr>
        <w:t xml:space="preserve">Citizen Charter Expenditures by Province and District </w:t>
      </w:r>
      <w:r w:rsidRPr="00D13154">
        <w:rPr>
          <w:rFonts w:ascii="Garamond" w:hAnsi="Garamond" w:cs="Times New Roman"/>
          <w:sz w:val="22"/>
          <w:szCs w:val="22"/>
        </w:rPr>
        <w:t>–</w:t>
      </w:r>
      <w:r w:rsidRPr="00D13154">
        <w:rPr>
          <w:rFonts w:ascii="Garamond" w:hAnsi="Garamond"/>
          <w:sz w:val="22"/>
          <w:szCs w:val="22"/>
        </w:rPr>
        <w:t xml:space="preserve"> Figures in USD</w:t>
      </w:r>
      <w:bookmarkEnd w:id="200"/>
    </w:p>
    <w:tbl>
      <w:tblPr>
        <w:tblpPr w:leftFromText="180" w:rightFromText="180" w:vertAnchor="text" w:tblpXSpec="righ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529"/>
        <w:gridCol w:w="868"/>
        <w:gridCol w:w="884"/>
        <w:gridCol w:w="1100"/>
        <w:gridCol w:w="1364"/>
        <w:gridCol w:w="1610"/>
        <w:gridCol w:w="1581"/>
        <w:gridCol w:w="1674"/>
        <w:gridCol w:w="1767"/>
      </w:tblGrid>
      <w:tr w:rsidR="00A00C6A" w:rsidRPr="00D9713C" w:rsidTr="003771C5">
        <w:trPr>
          <w:trHeight w:val="20"/>
          <w:tblHeader/>
        </w:trPr>
        <w:tc>
          <w:tcPr>
            <w:tcW w:w="1797" w:type="dxa"/>
            <w:vMerge w:val="restart"/>
            <w:shd w:val="clear" w:color="auto" w:fill="C6D9F1"/>
            <w:noWrap/>
            <w:vAlign w:val="center"/>
            <w:hideMark/>
          </w:tcPr>
          <w:bookmarkEnd w:id="201"/>
          <w:bookmarkEnd w:id="202"/>
          <w:p w:rsidR="00561060" w:rsidRPr="00D9713C" w:rsidRDefault="00561060" w:rsidP="008E01DF">
            <w:pPr>
              <w:spacing w:before="100" w:beforeAutospacing="1" w:afterAutospacing="1"/>
              <w:jc w:val="center"/>
              <w:rPr>
                <w:rFonts w:eastAsia="Times New Roman" w:cs="Times New Roman"/>
                <w:b/>
                <w:bCs/>
                <w:sz w:val="18"/>
                <w:szCs w:val="18"/>
              </w:rPr>
            </w:pPr>
            <w:r w:rsidRPr="00D9713C">
              <w:rPr>
                <w:rFonts w:eastAsia="Times New Roman" w:cs="Times New Roman"/>
                <w:b/>
                <w:bCs/>
                <w:sz w:val="18"/>
                <w:szCs w:val="18"/>
              </w:rPr>
              <w:t>Province</w:t>
            </w:r>
          </w:p>
        </w:tc>
        <w:tc>
          <w:tcPr>
            <w:tcW w:w="1529" w:type="dxa"/>
            <w:vMerge w:val="restart"/>
            <w:shd w:val="clear" w:color="auto" w:fill="C6D9F1"/>
            <w:noWrap/>
            <w:vAlign w:val="center"/>
            <w:hideMark/>
          </w:tcPr>
          <w:p w:rsidR="00561060" w:rsidRPr="00D9713C" w:rsidRDefault="00561060" w:rsidP="008E01DF">
            <w:pPr>
              <w:spacing w:before="100" w:beforeAutospacing="1" w:afterAutospacing="1"/>
              <w:jc w:val="center"/>
              <w:rPr>
                <w:rFonts w:eastAsia="Times New Roman" w:cs="Times New Roman"/>
                <w:b/>
                <w:bCs/>
                <w:sz w:val="18"/>
                <w:szCs w:val="18"/>
                <w:rtl/>
              </w:rPr>
            </w:pPr>
            <w:r w:rsidRPr="00D9713C">
              <w:rPr>
                <w:rFonts w:eastAsia="Times New Roman" w:cs="Times New Roman"/>
                <w:b/>
                <w:bCs/>
                <w:sz w:val="18"/>
                <w:szCs w:val="18"/>
              </w:rPr>
              <w:t>District</w:t>
            </w:r>
          </w:p>
        </w:tc>
        <w:tc>
          <w:tcPr>
            <w:tcW w:w="2852" w:type="dxa"/>
            <w:gridSpan w:val="3"/>
            <w:shd w:val="clear" w:color="auto" w:fill="C6D9F1"/>
            <w:hideMark/>
          </w:tcPr>
          <w:p w:rsidR="00561060" w:rsidRPr="00D9713C" w:rsidRDefault="00561060" w:rsidP="008E01DF">
            <w:pPr>
              <w:spacing w:before="100" w:beforeAutospacing="1" w:afterAutospacing="1"/>
              <w:jc w:val="center"/>
              <w:rPr>
                <w:rFonts w:eastAsia="Times New Roman" w:cs="Times New Roman"/>
                <w:b/>
                <w:bCs/>
                <w:sz w:val="18"/>
                <w:szCs w:val="18"/>
                <w:rtl/>
              </w:rPr>
            </w:pPr>
            <w:r w:rsidRPr="00D9713C">
              <w:rPr>
                <w:rFonts w:eastAsia="Times New Roman" w:cs="Times New Roman"/>
                <w:b/>
                <w:bCs/>
                <w:sz w:val="18"/>
                <w:szCs w:val="18"/>
              </w:rPr>
              <w:t xml:space="preserve">Number of </w:t>
            </w:r>
            <w:r w:rsidR="003E793E" w:rsidRPr="00D9713C">
              <w:rPr>
                <w:rFonts w:eastAsia="Times New Roman" w:cs="Times New Roman"/>
                <w:b/>
                <w:bCs/>
                <w:sz w:val="18"/>
                <w:szCs w:val="18"/>
              </w:rPr>
              <w:t>Communities</w:t>
            </w:r>
          </w:p>
        </w:tc>
        <w:tc>
          <w:tcPr>
            <w:tcW w:w="1364" w:type="dxa"/>
            <w:shd w:val="clear" w:color="auto" w:fill="C6D9F1"/>
            <w:noWrap/>
            <w:hideMark/>
          </w:tcPr>
          <w:p w:rsidR="00561060" w:rsidRPr="00D9713C" w:rsidRDefault="00561060" w:rsidP="00D9713C">
            <w:pPr>
              <w:spacing w:before="100" w:beforeAutospacing="1" w:afterAutospacing="1"/>
              <w:jc w:val="center"/>
              <w:rPr>
                <w:rFonts w:eastAsia="Times New Roman" w:cs="Times New Roman"/>
                <w:b/>
                <w:bCs/>
                <w:sz w:val="18"/>
                <w:szCs w:val="18"/>
                <w:rtl/>
              </w:rPr>
            </w:pPr>
            <w:r w:rsidRPr="00D9713C">
              <w:rPr>
                <w:rFonts w:eastAsia="Times New Roman" w:cs="Times New Roman"/>
                <w:b/>
                <w:bCs/>
                <w:sz w:val="18"/>
                <w:szCs w:val="18"/>
              </w:rPr>
              <w:t>1396</w:t>
            </w:r>
          </w:p>
        </w:tc>
        <w:tc>
          <w:tcPr>
            <w:tcW w:w="1610" w:type="dxa"/>
            <w:shd w:val="clear" w:color="auto" w:fill="C6D9F1"/>
            <w:noWrap/>
            <w:hideMark/>
          </w:tcPr>
          <w:p w:rsidR="00561060" w:rsidRPr="00D9713C" w:rsidRDefault="00561060" w:rsidP="00D9713C">
            <w:pPr>
              <w:spacing w:before="100" w:beforeAutospacing="1" w:afterAutospacing="1"/>
              <w:jc w:val="center"/>
              <w:rPr>
                <w:rFonts w:eastAsia="Times New Roman" w:cs="Times New Roman"/>
                <w:b/>
                <w:bCs/>
                <w:sz w:val="18"/>
                <w:szCs w:val="18"/>
              </w:rPr>
            </w:pPr>
            <w:r w:rsidRPr="00D9713C">
              <w:rPr>
                <w:rFonts w:eastAsia="Times New Roman" w:cs="Times New Roman"/>
                <w:b/>
                <w:bCs/>
                <w:sz w:val="18"/>
                <w:szCs w:val="18"/>
              </w:rPr>
              <w:t>1397</w:t>
            </w:r>
          </w:p>
        </w:tc>
        <w:tc>
          <w:tcPr>
            <w:tcW w:w="1581" w:type="dxa"/>
            <w:shd w:val="clear" w:color="auto" w:fill="C6D9F1"/>
            <w:noWrap/>
            <w:hideMark/>
          </w:tcPr>
          <w:p w:rsidR="00561060" w:rsidRPr="00D9713C" w:rsidRDefault="00561060" w:rsidP="00D9713C">
            <w:pPr>
              <w:spacing w:before="100" w:beforeAutospacing="1" w:afterAutospacing="1"/>
              <w:jc w:val="center"/>
              <w:rPr>
                <w:rFonts w:eastAsia="Times New Roman" w:cs="Times New Roman"/>
                <w:b/>
                <w:bCs/>
                <w:sz w:val="18"/>
                <w:szCs w:val="18"/>
              </w:rPr>
            </w:pPr>
            <w:r w:rsidRPr="00D9713C">
              <w:rPr>
                <w:rFonts w:eastAsia="Times New Roman" w:cs="Times New Roman"/>
                <w:b/>
                <w:bCs/>
                <w:sz w:val="18"/>
                <w:szCs w:val="18"/>
              </w:rPr>
              <w:t>1398</w:t>
            </w:r>
          </w:p>
        </w:tc>
        <w:tc>
          <w:tcPr>
            <w:tcW w:w="1674" w:type="dxa"/>
            <w:shd w:val="clear" w:color="auto" w:fill="C6D9F1"/>
            <w:noWrap/>
            <w:hideMark/>
          </w:tcPr>
          <w:p w:rsidR="00561060" w:rsidRPr="00D9713C" w:rsidRDefault="00561060" w:rsidP="00D9713C">
            <w:pPr>
              <w:spacing w:before="100" w:beforeAutospacing="1" w:afterAutospacing="1"/>
              <w:jc w:val="center"/>
              <w:rPr>
                <w:rFonts w:eastAsia="Times New Roman" w:cs="Times New Roman"/>
                <w:b/>
                <w:bCs/>
                <w:sz w:val="18"/>
                <w:szCs w:val="18"/>
              </w:rPr>
            </w:pPr>
            <w:r w:rsidRPr="00D9713C">
              <w:rPr>
                <w:rFonts w:eastAsia="Times New Roman" w:cs="Times New Roman"/>
                <w:b/>
                <w:bCs/>
                <w:sz w:val="18"/>
                <w:szCs w:val="18"/>
              </w:rPr>
              <w:t>1399</w:t>
            </w:r>
          </w:p>
        </w:tc>
        <w:tc>
          <w:tcPr>
            <w:tcW w:w="1767" w:type="dxa"/>
            <w:shd w:val="clear" w:color="auto" w:fill="C6D9F1"/>
            <w:noWrap/>
            <w:hideMark/>
          </w:tcPr>
          <w:p w:rsidR="00561060" w:rsidRPr="00D9713C" w:rsidRDefault="00561060" w:rsidP="00D9713C">
            <w:pPr>
              <w:spacing w:before="100" w:beforeAutospacing="1" w:afterAutospacing="1"/>
              <w:jc w:val="center"/>
              <w:rPr>
                <w:rFonts w:eastAsia="Times New Roman" w:cs="Times New Roman"/>
                <w:b/>
                <w:bCs/>
                <w:sz w:val="18"/>
                <w:szCs w:val="18"/>
              </w:rPr>
            </w:pPr>
            <w:r w:rsidRPr="00D9713C">
              <w:rPr>
                <w:rFonts w:eastAsia="Times New Roman" w:cs="Times New Roman"/>
                <w:b/>
                <w:bCs/>
                <w:sz w:val="18"/>
                <w:szCs w:val="18"/>
              </w:rPr>
              <w:t>1400</w:t>
            </w:r>
          </w:p>
        </w:tc>
      </w:tr>
      <w:tr w:rsidR="00A00C6A" w:rsidRPr="00D9713C" w:rsidTr="003771C5">
        <w:trPr>
          <w:trHeight w:val="20"/>
          <w:tblHeader/>
        </w:trPr>
        <w:tc>
          <w:tcPr>
            <w:tcW w:w="1797" w:type="dxa"/>
            <w:vMerge/>
            <w:shd w:val="clear" w:color="auto" w:fill="C6D9F1"/>
            <w:hideMark/>
          </w:tcPr>
          <w:p w:rsidR="00561060" w:rsidRPr="00D9713C" w:rsidRDefault="00561060" w:rsidP="008E01DF">
            <w:pPr>
              <w:spacing w:before="100" w:beforeAutospacing="1" w:afterAutospacing="1"/>
              <w:rPr>
                <w:rFonts w:eastAsia="Times New Roman" w:cs="Times New Roman"/>
                <w:b/>
                <w:bCs/>
                <w:sz w:val="18"/>
                <w:szCs w:val="18"/>
              </w:rPr>
            </w:pPr>
          </w:p>
        </w:tc>
        <w:tc>
          <w:tcPr>
            <w:tcW w:w="1529" w:type="dxa"/>
            <w:vMerge/>
            <w:shd w:val="clear" w:color="auto" w:fill="C6D9F1"/>
            <w:hideMark/>
          </w:tcPr>
          <w:p w:rsidR="00561060" w:rsidRPr="00D9713C" w:rsidRDefault="00561060" w:rsidP="008E01DF">
            <w:pPr>
              <w:spacing w:before="100" w:beforeAutospacing="1" w:afterAutospacing="1"/>
              <w:rPr>
                <w:rFonts w:eastAsia="Times New Roman" w:cs="Times New Roman"/>
                <w:b/>
                <w:bCs/>
                <w:sz w:val="18"/>
                <w:szCs w:val="18"/>
              </w:rPr>
            </w:pPr>
          </w:p>
        </w:tc>
        <w:tc>
          <w:tcPr>
            <w:tcW w:w="868" w:type="dxa"/>
            <w:shd w:val="clear" w:color="auto" w:fill="C6D9F1"/>
            <w:hideMark/>
          </w:tcPr>
          <w:p w:rsidR="00561060" w:rsidRPr="00D9713C" w:rsidRDefault="00561060" w:rsidP="008E01DF">
            <w:pPr>
              <w:spacing w:before="100" w:beforeAutospacing="1" w:afterAutospacing="1"/>
              <w:jc w:val="center"/>
              <w:rPr>
                <w:rFonts w:eastAsia="Times New Roman" w:cs="Times New Roman"/>
                <w:b/>
                <w:bCs/>
                <w:sz w:val="18"/>
                <w:szCs w:val="18"/>
                <w:rtl/>
              </w:rPr>
            </w:pPr>
            <w:r w:rsidRPr="00D9713C">
              <w:rPr>
                <w:rFonts w:eastAsia="Times New Roman" w:cs="Times New Roman"/>
                <w:b/>
                <w:bCs/>
                <w:sz w:val="18"/>
                <w:szCs w:val="18"/>
              </w:rPr>
              <w:t>District</w:t>
            </w:r>
          </w:p>
        </w:tc>
        <w:tc>
          <w:tcPr>
            <w:tcW w:w="884" w:type="dxa"/>
            <w:shd w:val="clear" w:color="auto" w:fill="C6D9F1"/>
            <w:hideMark/>
          </w:tcPr>
          <w:p w:rsidR="00561060" w:rsidRPr="00D9713C" w:rsidRDefault="00561060" w:rsidP="008E01DF">
            <w:pPr>
              <w:spacing w:before="100" w:beforeAutospacing="1" w:afterAutospacing="1"/>
              <w:jc w:val="center"/>
              <w:rPr>
                <w:rFonts w:eastAsia="Times New Roman" w:cs="Times New Roman"/>
                <w:b/>
                <w:bCs/>
                <w:sz w:val="18"/>
                <w:szCs w:val="18"/>
                <w:rtl/>
              </w:rPr>
            </w:pPr>
            <w:r w:rsidRPr="00D9713C">
              <w:rPr>
                <w:rFonts w:eastAsia="Times New Roman" w:cs="Times New Roman"/>
                <w:b/>
                <w:bCs/>
                <w:sz w:val="18"/>
                <w:szCs w:val="18"/>
              </w:rPr>
              <w:t>Province</w:t>
            </w:r>
          </w:p>
        </w:tc>
        <w:tc>
          <w:tcPr>
            <w:tcW w:w="1100" w:type="dxa"/>
            <w:shd w:val="clear" w:color="auto" w:fill="C6D9F1"/>
            <w:hideMark/>
          </w:tcPr>
          <w:p w:rsidR="00561060" w:rsidRPr="00D9713C" w:rsidRDefault="00561060" w:rsidP="008E01DF">
            <w:pPr>
              <w:spacing w:before="100" w:beforeAutospacing="1" w:afterAutospacing="1"/>
              <w:jc w:val="center"/>
              <w:rPr>
                <w:rFonts w:eastAsia="Times New Roman" w:cs="Times New Roman"/>
                <w:b/>
                <w:bCs/>
                <w:sz w:val="18"/>
                <w:szCs w:val="18"/>
              </w:rPr>
            </w:pPr>
            <w:r w:rsidRPr="00D9713C">
              <w:rPr>
                <w:rFonts w:eastAsia="Times New Roman" w:cs="Times New Roman"/>
                <w:b/>
                <w:bCs/>
                <w:sz w:val="18"/>
                <w:szCs w:val="18"/>
              </w:rPr>
              <w:t>Total</w:t>
            </w:r>
          </w:p>
        </w:tc>
        <w:tc>
          <w:tcPr>
            <w:tcW w:w="1364" w:type="dxa"/>
            <w:shd w:val="clear" w:color="auto" w:fill="C6D9F1"/>
            <w:noWrap/>
            <w:hideMark/>
          </w:tcPr>
          <w:p w:rsidR="00561060" w:rsidRPr="00D9713C" w:rsidRDefault="00561060" w:rsidP="00D9713C">
            <w:pPr>
              <w:spacing w:before="100" w:beforeAutospacing="1" w:afterAutospacing="1"/>
              <w:jc w:val="center"/>
              <w:rPr>
                <w:rFonts w:eastAsia="Times New Roman" w:cs="Times New Roman"/>
                <w:b/>
                <w:bCs/>
                <w:sz w:val="18"/>
                <w:szCs w:val="18"/>
                <w:rtl/>
              </w:rPr>
            </w:pPr>
            <w:r w:rsidRPr="00D9713C">
              <w:rPr>
                <w:rFonts w:eastAsia="Times New Roman" w:cs="Times New Roman"/>
                <w:b/>
                <w:bCs/>
                <w:sz w:val="18"/>
                <w:szCs w:val="18"/>
              </w:rPr>
              <w:t>2017</w:t>
            </w:r>
          </w:p>
        </w:tc>
        <w:tc>
          <w:tcPr>
            <w:tcW w:w="1610" w:type="dxa"/>
            <w:shd w:val="clear" w:color="auto" w:fill="C6D9F1"/>
            <w:noWrap/>
            <w:hideMark/>
          </w:tcPr>
          <w:p w:rsidR="00561060" w:rsidRPr="00D9713C" w:rsidRDefault="00561060" w:rsidP="00D9713C">
            <w:pPr>
              <w:spacing w:before="100" w:beforeAutospacing="1" w:afterAutospacing="1"/>
              <w:jc w:val="center"/>
              <w:rPr>
                <w:rFonts w:eastAsia="Times New Roman" w:cs="Times New Roman"/>
                <w:b/>
                <w:bCs/>
                <w:sz w:val="18"/>
                <w:szCs w:val="18"/>
              </w:rPr>
            </w:pPr>
            <w:r w:rsidRPr="00D9713C">
              <w:rPr>
                <w:rFonts w:eastAsia="Times New Roman" w:cs="Times New Roman"/>
                <w:b/>
                <w:bCs/>
                <w:sz w:val="18"/>
                <w:szCs w:val="18"/>
              </w:rPr>
              <w:t>2018</w:t>
            </w:r>
          </w:p>
        </w:tc>
        <w:tc>
          <w:tcPr>
            <w:tcW w:w="1581" w:type="dxa"/>
            <w:shd w:val="clear" w:color="auto" w:fill="C6D9F1"/>
            <w:noWrap/>
            <w:hideMark/>
          </w:tcPr>
          <w:p w:rsidR="00561060" w:rsidRPr="00D9713C" w:rsidRDefault="00561060" w:rsidP="00D9713C">
            <w:pPr>
              <w:spacing w:before="100" w:beforeAutospacing="1" w:afterAutospacing="1"/>
              <w:jc w:val="center"/>
              <w:rPr>
                <w:rFonts w:eastAsia="Times New Roman" w:cs="Times New Roman"/>
                <w:b/>
                <w:bCs/>
                <w:sz w:val="18"/>
                <w:szCs w:val="18"/>
              </w:rPr>
            </w:pPr>
            <w:r w:rsidRPr="00D9713C">
              <w:rPr>
                <w:rFonts w:eastAsia="Times New Roman" w:cs="Times New Roman"/>
                <w:b/>
                <w:bCs/>
                <w:sz w:val="18"/>
                <w:szCs w:val="18"/>
              </w:rPr>
              <w:t>2019</w:t>
            </w:r>
          </w:p>
        </w:tc>
        <w:tc>
          <w:tcPr>
            <w:tcW w:w="1674" w:type="dxa"/>
            <w:shd w:val="clear" w:color="auto" w:fill="C6D9F1"/>
            <w:noWrap/>
            <w:hideMark/>
          </w:tcPr>
          <w:p w:rsidR="00561060" w:rsidRPr="00D9713C" w:rsidRDefault="00561060" w:rsidP="00D9713C">
            <w:pPr>
              <w:spacing w:before="100" w:beforeAutospacing="1" w:afterAutospacing="1"/>
              <w:jc w:val="center"/>
              <w:rPr>
                <w:rFonts w:eastAsia="Times New Roman" w:cs="Times New Roman"/>
                <w:b/>
                <w:bCs/>
                <w:sz w:val="18"/>
                <w:szCs w:val="18"/>
              </w:rPr>
            </w:pPr>
            <w:r w:rsidRPr="00D9713C">
              <w:rPr>
                <w:rFonts w:eastAsia="Times New Roman" w:cs="Times New Roman"/>
                <w:b/>
                <w:bCs/>
                <w:sz w:val="18"/>
                <w:szCs w:val="18"/>
              </w:rPr>
              <w:t>2020</w:t>
            </w:r>
          </w:p>
        </w:tc>
        <w:tc>
          <w:tcPr>
            <w:tcW w:w="1767" w:type="dxa"/>
            <w:shd w:val="clear" w:color="auto" w:fill="C6D9F1"/>
            <w:noWrap/>
            <w:hideMark/>
          </w:tcPr>
          <w:p w:rsidR="00561060" w:rsidRPr="00D9713C" w:rsidRDefault="00561060" w:rsidP="00D9713C">
            <w:pPr>
              <w:spacing w:before="100" w:beforeAutospacing="1" w:afterAutospacing="1"/>
              <w:jc w:val="center"/>
              <w:rPr>
                <w:rFonts w:eastAsia="Times New Roman" w:cs="Times New Roman"/>
                <w:b/>
                <w:bCs/>
                <w:sz w:val="18"/>
                <w:szCs w:val="18"/>
              </w:rPr>
            </w:pPr>
            <w:r w:rsidRPr="00D9713C">
              <w:rPr>
                <w:rFonts w:eastAsia="Times New Roman" w:cs="Times New Roman"/>
                <w:b/>
                <w:bCs/>
                <w:sz w:val="18"/>
                <w:szCs w:val="18"/>
              </w:rPr>
              <w:t>2021</w:t>
            </w:r>
          </w:p>
        </w:tc>
      </w:tr>
      <w:tr w:rsidR="00A00C6A" w:rsidRPr="00A00C6A" w:rsidTr="003771C5">
        <w:trPr>
          <w:trHeight w:val="288"/>
        </w:trPr>
        <w:tc>
          <w:tcPr>
            <w:tcW w:w="1740"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Uruzgan</w:t>
            </w:r>
          </w:p>
          <w:p w:rsidR="00561060" w:rsidRPr="003771C5" w:rsidRDefault="00561060" w:rsidP="00D9713C">
            <w:pPr>
              <w:spacing w:before="100" w:beforeAutospacing="1" w:afterAutospacing="1"/>
              <w:rPr>
                <w:rFonts w:eastAsia="Times New Roman" w:cs="Times New Roman"/>
                <w:sz w:val="17"/>
                <w:szCs w:val="17"/>
              </w:rPr>
            </w:pPr>
          </w:p>
        </w:tc>
        <w:tc>
          <w:tcPr>
            <w:tcW w:w="1480"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Tirinkot</w:t>
            </w:r>
          </w:p>
        </w:tc>
        <w:tc>
          <w:tcPr>
            <w:tcW w:w="840"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201</w:t>
            </w:r>
          </w:p>
        </w:tc>
        <w:tc>
          <w:tcPr>
            <w:tcW w:w="663"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421</w:t>
            </w:r>
          </w:p>
        </w:tc>
        <w:tc>
          <w:tcPr>
            <w:tcW w:w="1065"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16,267,935</w:t>
            </w:r>
          </w:p>
        </w:tc>
        <w:tc>
          <w:tcPr>
            <w:tcW w:w="132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1,190,721</w:t>
            </w:r>
          </w:p>
        </w:tc>
        <w:tc>
          <w:tcPr>
            <w:tcW w:w="1558"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1,568,131</w:t>
            </w:r>
          </w:p>
        </w:tc>
        <w:tc>
          <w:tcPr>
            <w:tcW w:w="153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2,241,387</w:t>
            </w:r>
          </w:p>
        </w:tc>
        <w:tc>
          <w:tcPr>
            <w:tcW w:w="162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9,949,995</w:t>
            </w:r>
          </w:p>
        </w:tc>
        <w:tc>
          <w:tcPr>
            <w:tcW w:w="17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1,317,703</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Ghor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220</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10,215,700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273,435</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485,933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616,937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8,476,700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362,695</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Zabul</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Trang and Jeldak</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130</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325</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6,036,550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764,669</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890,138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1,344,423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2,246,939</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790,381</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Qalat</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195</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9,054,825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647,276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797,352</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1,173,666</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5,746,537</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689,994</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Kandahar</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Panjwayi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212</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646</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9,844,220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263,492</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2,102,344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1,922,087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4,426,310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1,129,988</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Spin Boldak</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363</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16,855,905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451,167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2,771,337</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2,618,075</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9,476,169</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1,539,156</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Shige</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71</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3,296,885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88,245</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1,347,148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1,166,163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9,745</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685,583</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Helmand</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Garamsir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171</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687</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7,940,385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212,533</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377,703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479,528</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6,588,708</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281,913</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Nava Barakzai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218</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10,122,830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270,949</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2,394,105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2,165,183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4,019,691</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1,272,902</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Lashkargah</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161</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13,030,535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348,777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1,518,985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1,517,435</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1,753,243</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7,892,094</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Nadali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137</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6,361,595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170,275</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387,106</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452,836</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5,085,157</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266,221</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Nimroz</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Charbourjak</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59</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207</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2,739,665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140,223</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1,545,361</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956,081</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48,000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Chakhansoor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66</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3,064,710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82,030</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2,987,358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650,000</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75,600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45,000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Gank</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82</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3,807,670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1,074,927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1,477,213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1,174,830</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35,700</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Farah</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Parchaman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179</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327</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8,311,865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222,476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395,373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501,962</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1,896,952</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5,295,102</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Farah Center - Farah</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148</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11,978,380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3,528,488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9,582,353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550,000</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35,000</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Ghor</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Tulak</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102</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508</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4,736,370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389,277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1,199,483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1,290,764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1,098,010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758,835</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Shahrak</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120</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5,572,200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244,208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1,089,972</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1,083,934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2,516,847</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637,240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Lal and Sarjangal</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286</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13,280,410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807,110</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1,499,146</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1,873,682</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1,998,941</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7,101,531</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Herat</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Obah</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140</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668</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6,500,900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575,899</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1,596,424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1,764,871</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1,526,144</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1,037,561</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Pashtun Zarghon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158</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7,336,730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522,393</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1,572,327</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1,701,823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2,539,691</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1,000,495</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Zindajan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76</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3,529,060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520,844</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1,054,485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1,279,853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478,000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195,878</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Farsi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80</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3,714,800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347,858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289,524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517,831</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2,255,156</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304,431</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Karukh</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154</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7,150,990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787,113</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2,064,733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2,316,939</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620,084</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1,362,120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Kohsan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60</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2,786,100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432,545</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472,010</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734,892</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714,612</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432,040</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Badghis</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Muquor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124</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249</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5,757,940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496,995</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3,593,028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1,567,917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65,000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35,000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Jawand</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125</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5,804,375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155,361</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1,665,736</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1,479,522</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1,633,952</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869,805</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Faryab</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Qorghan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69</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321</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3,204,015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186,578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1,226,202</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1,147,792</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193,443</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Maiman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92</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4,272,020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849,225</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1,977,100</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1,310,994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89,700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45,000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Khan Charbagh</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19</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882,265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128,848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186,418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256,133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160,287</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150,579</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Pulchiragh</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68</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3,157,580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84,516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424,662</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413,674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1,991,531</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243,197</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Andkhoy</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73</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3,389,755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246,556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1,324,111</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1,276,064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250,000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293,024</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Balkh</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Marmal</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29</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306</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1,346,615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68,864</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481,748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447,337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85,678</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262,988</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Khulm</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95</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4,411,325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317,577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1,543,542</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1,512,038</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149,247</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888,921</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Balkh</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118</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5,479,330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542,219</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3,318,450</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1,529,660</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54,000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35,000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Charkint</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64</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2,971,840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265,512</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1,272,186</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1,249,279</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74,862</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Saripul</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Gosfandi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87</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264</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4,039,845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108,131</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1,441,256</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1,258,776</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491,653</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740,029</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Serpul Center - Saripul</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177</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8,218,995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219,991</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1,154,126</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1,116,381</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1,072,182</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4,656,316</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Jawzjan</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Faizabad</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72</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208</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3,343,320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89,488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1,582,765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1,358,596</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260,000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52,471</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Center of Jawzjan - Sheberghan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136</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6,315,160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169,032</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2,584,977</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2,237,453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8,308</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1,315,390</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Bamiyan</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Waras</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190</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289</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8,822,650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1,923,556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4,060,212</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2,763,882</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35,000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Punjab</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99</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4,597,065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257,887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2,867,665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1,340,914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75,600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55,000</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Daikundi</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Miramor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165</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311</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7,661,775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1,621,116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1,270,656</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2,349,377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1,039,437</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1,381,189</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Gaty</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88</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4,086,280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898,540</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1,440,019</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1,652,721</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45,000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Daikundi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58</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2,693,230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752,236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1,247,884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640,110</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3,000</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Baghlan</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Da Salah</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47</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455</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2,182,445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58,416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549,234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493,675</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790,890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290,230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Puli Hesar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37</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1,718,095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45,987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433,218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389,323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620,685</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228,881</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Guzargahi Noor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35</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1,625,225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43,501</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862,963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603,761</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45,000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Pali Khumri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99</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8,012,565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214,465</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2,669,426</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2,342,974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1,408,274</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1,377,425</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Baghlan Jadid</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237</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11,005,095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734,102</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5,612,140</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4,548,153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65,700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45,000</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Kunduz</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Ali Abad</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74</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304</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3,436,190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286,311</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388,898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548,564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1,889,918</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322,498</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Kunduz - Kunduz Center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230</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18,615,050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2,275,160</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4,068,655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5,153,936</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4,087,320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3,029,979</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Samangan</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Hazrat Sultan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60</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189</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2,786,100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881,816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846,539</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977,745</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30,000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Roydo Aab</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72</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3,343,320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997,767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1,140,473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1,080,080</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75,000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50,000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Khuram wa Sarbagh</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57</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2,646,795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611,747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1,182,404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757,144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55,500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40,000</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Takhar</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Baharak</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110</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875</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5,107,850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136,717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515,764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530,098</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3,613,628</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311,643</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Jah Aab</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128</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5,943,680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159,089</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335,156</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401,542</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4,811,828</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236,065</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Khwaja Ghaar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91</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4,225,585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113,103</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235,303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283,057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3,427,714</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166,408</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Dashti Qala</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65</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3,018,275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80,788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568,433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527,449</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1,531,520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310,085</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Namak Aab</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43</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1,996,705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53,444</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122,496</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142,940</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1,593,791</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84,034</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Hazar Smooch</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32</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1,485,920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39,772</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102,552</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115,630</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1,159,988</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67,978</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Taloqan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330</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26,708,550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714,885</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1,270,454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1,612,958</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12,162,003</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10,948,252</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Warasj</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76</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3,529,060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94,459</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215,778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252,048</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2,818,596</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148,178</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Badakhshan</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Ishkashim</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45</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648</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2,089,575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55,930</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278,055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271,341</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1,324,730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159,520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Wakhan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60</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2,786,100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74,573</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163,314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193,267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2,241,325</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113,621</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Yawan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81</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3,761,235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100,674</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178,912</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227,145</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3,120,967</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133,538</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Badakhshan Center - Feyzabad</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166</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7,708,210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206,319</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366,659</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465,507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6,396,056</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273,670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Kiraan wa Manjan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36</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1,671,660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44,744</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135,394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146,351</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1,259,132</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86,039</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Daraym</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114</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5,293,590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141,689</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510,178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529,600</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3,800,773</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311,350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Tishkan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60</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2,786,100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74,573</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283,166</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290,639</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1,966,856</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170,866</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Shari Buzurg</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86</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3,993,410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106,888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430,766</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436,809</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2,762,149</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256,798</w:t>
            </w:r>
          </w:p>
        </w:tc>
      </w:tr>
      <w:tr w:rsidR="00A00C6A" w:rsidRPr="00A00C6A" w:rsidTr="003771C5">
        <w:trPr>
          <w:trHeight w:val="288"/>
        </w:trPr>
        <w:tc>
          <w:tcPr>
            <w:tcW w:w="179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Kapisa</w:t>
            </w: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Kapisa</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255</w:t>
            </w:r>
          </w:p>
        </w:tc>
        <w:tc>
          <w:tcPr>
            <w:tcW w:w="884"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255</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11,840,925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1,202,999</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4,013,485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4,238,053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1,345,000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1,041,389</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Panjshir</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lastRenderedPageBreak/>
              <w:t>Shatal</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16</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77</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742,960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244,424</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119,860</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278,397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91,500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8,780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Aabshar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19</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882,265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289,125</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240,670</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272,470</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35,000</w:t>
            </w:r>
          </w:p>
        </w:tc>
      </w:tr>
      <w:tr w:rsidR="00A00C6A" w:rsidRPr="00A00C6A" w:rsidTr="009D6E9F">
        <w:trPr>
          <w:trHeight w:val="288"/>
        </w:trPr>
        <w:tc>
          <w:tcPr>
            <w:tcW w:w="1797" w:type="dxa"/>
            <w:vMerge/>
            <w:tcBorders>
              <w:bottom w:val="single" w:sz="4" w:space="0" w:color="auto"/>
            </w:tcBorders>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tcBorders>
              <w:bottom w:val="single" w:sz="4" w:space="0" w:color="auto"/>
            </w:tcBorders>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Anaba</w:t>
            </w:r>
          </w:p>
        </w:tc>
        <w:tc>
          <w:tcPr>
            <w:tcW w:w="868" w:type="dxa"/>
            <w:tcBorders>
              <w:bottom w:val="single" w:sz="4" w:space="0" w:color="auto"/>
            </w:tcBorders>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42</w:t>
            </w:r>
          </w:p>
        </w:tc>
        <w:tc>
          <w:tcPr>
            <w:tcW w:w="884" w:type="dxa"/>
            <w:vMerge/>
            <w:tcBorders>
              <w:bottom w:val="single" w:sz="4" w:space="0" w:color="auto"/>
            </w:tcBorders>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tcBorders>
              <w:bottom w:val="single" w:sz="4" w:space="0" w:color="auto"/>
            </w:tcBorders>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1,950,270</w:t>
            </w:r>
          </w:p>
        </w:tc>
        <w:tc>
          <w:tcPr>
            <w:tcW w:w="1364" w:type="dxa"/>
            <w:tcBorders>
              <w:bottom w:val="single" w:sz="4" w:space="0" w:color="auto"/>
            </w:tcBorders>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194,345</w:t>
            </w:r>
          </w:p>
        </w:tc>
        <w:tc>
          <w:tcPr>
            <w:tcW w:w="1610" w:type="dxa"/>
            <w:tcBorders>
              <w:bottom w:val="single" w:sz="4" w:space="0" w:color="auto"/>
            </w:tcBorders>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482,791</w:t>
            </w:r>
          </w:p>
        </w:tc>
        <w:tc>
          <w:tcPr>
            <w:tcW w:w="1581" w:type="dxa"/>
            <w:tcBorders>
              <w:bottom w:val="single" w:sz="4" w:space="0" w:color="auto"/>
            </w:tcBorders>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550,129</w:t>
            </w:r>
          </w:p>
        </w:tc>
        <w:tc>
          <w:tcPr>
            <w:tcW w:w="1674" w:type="dxa"/>
            <w:tcBorders>
              <w:bottom w:val="single" w:sz="4" w:space="0" w:color="auto"/>
            </w:tcBorders>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399,587</w:t>
            </w:r>
          </w:p>
        </w:tc>
        <w:tc>
          <w:tcPr>
            <w:tcW w:w="1767" w:type="dxa"/>
            <w:tcBorders>
              <w:bottom w:val="single" w:sz="4" w:space="0" w:color="auto"/>
            </w:tcBorders>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323,418</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Parwan</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Siyagard Gorband</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184</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242</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8,544,040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1,418,400</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3,180,293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3,670,347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225,000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50,000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Sheikh Ali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58</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2,693,230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327,565</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963,865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1,049,203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153,000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199,596</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Nuristan</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Duab</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59</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179</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2,739,665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94,131</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703,842</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648,301</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912,257</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381,134</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Nuristan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61</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2,832,535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75,816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599,355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548,533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1,286,351</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322,480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Wama</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59</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2,739,665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96,492</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955,532</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854,701</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330,464</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502,475</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Kunar</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Chuki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89</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297</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4,132,715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223,888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538,928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619,738</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2,385,820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364,341</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Darahi Pich</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93</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4,318,455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322,846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1,592,044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1,555,723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747,843</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Narang</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62</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2,878,970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393,872</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673,857</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867,460</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433,805</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509,976</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Kunar Center - Asadabad</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53</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2,461,055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301,864</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826,723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916,903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295,565</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Laghman</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Qarghaee</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154</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374</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12,463,990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1,443,695</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3,369,673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3,910,548</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1,441,078</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2,298,996</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Center of Laghman - Mehtrelam</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220</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10,215,700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307,082</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1,819,168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2,006,196</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346,456</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5,736,798</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Kabul</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Bagrami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99</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298</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4,597,065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295,536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1,214,304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1,226,647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1,139,436</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721,141</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Charasyab</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51</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2,368,185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76,567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879,703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776,907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178,267</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456,741</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Khaki Jabar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30</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1,393,050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37,287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729,083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571,680</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35,000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Guldra</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49</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2,275,315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370,698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1,046,737</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745,580</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62,300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50,000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Mosayee</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69</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3,204,015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111,137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1,245,718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1,102,356</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96,733</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648,071</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Logar</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Khushee</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77</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312</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3,575,495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471,919</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803,694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1,036,352</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654,262</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609,267</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Logar Center – Puli Alam</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235</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10,912,225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1,021,720</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2,155,788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2,581,518</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3,635,534</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1,517,665</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Wardak</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Jalriz</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85</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342</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3,946,975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342,838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1,561,491</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1,547,143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55,000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440,503</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Maidan Shar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52</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2,414,620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64,630</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565,098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511,613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972,504</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300,775</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Hisi Awali Behsood</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205</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9,519,175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1,110,708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1,844,488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2,400,904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2,751,593</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1,411,482</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Ghazni</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Bahrami Shaheed</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167</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348</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7,754,645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207,562</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1,337,740</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1,255,457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4,215,809</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738,078</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Ghazni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181</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14,649,235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392,103</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790,945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961,149</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11,939,982</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565,056</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Paktika</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lastRenderedPageBreak/>
              <w:t>Jaghori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317</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930</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14,719,895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689,114</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3,305,584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3,245,432</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5,571,787</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1,907,977</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Khwaja Omari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40</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1,857,400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139,957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452,753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481,539</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500,056</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283,095</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Nawar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320</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14,859,200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510,150</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1,242,611</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10,424,004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1,845,268</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837,167</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Janny Khel</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54</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2,507,490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176,911</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394,035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463,857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1,199,986</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272,700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Sar Rawza</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39</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1,810,965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48,473</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86,143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109,366</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1,502,688</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64,296</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Paktika Center - Sharana</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98</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4,550,630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801,794</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973,136</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1,442,014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485,931</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847,755</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Yahya Khel</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62</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2,878,970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732,497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1,534,795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416,678</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85,000</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Khost</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Khost-Khost Center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228</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437</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10,587,180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729,382</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1,386,821</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5,719,277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1,740,944</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1,010,756</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Gorboz</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67</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3,111,145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159,482</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643,689</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652,524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1,271,833</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383,616</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Nadir Shah Kot</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62</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2,878,970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141,396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513,515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532,073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1,379,183</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312,803</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Mandozy</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80</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3,714,800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143,417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687,796</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675,307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1,811,270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397,010</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Nangarhar</w:t>
            </w:r>
          </w:p>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Behsood</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124</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943</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2,751,790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73,655</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130,895</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166,184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2,283,358</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97,699</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Kouz Kunar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97</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7,850,695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275,266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710,858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801,161</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5,592,410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471,000</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Chaparhar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91</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3,642,075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97,484</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352,530</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365,607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2,611,514</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214,939</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Khogyani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208</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16,834,480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450,594</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800,771</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11,016,652</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1,426,036</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597,686</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Shinwar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89</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4,132,715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110,617</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196,582</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3,249,579</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429,211</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146,727</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Durbaba</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44</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2,043,140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279,228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587,528</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704,183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58,213</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413,987</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Darahi Noor</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63</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2,925,405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230,144</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593,462</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669,126</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1,039,297</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393,377</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Surkhroad</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149</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12,059,315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2,053,974</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2,501,710</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3,701,196</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1,626,516</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2,175,919</w:t>
            </w:r>
          </w:p>
        </w:tc>
      </w:tr>
      <w:tr w:rsidR="00A00C6A" w:rsidRPr="00A00C6A" w:rsidTr="003771C5">
        <w:trPr>
          <w:trHeight w:val="288"/>
        </w:trPr>
        <w:tc>
          <w:tcPr>
            <w:tcW w:w="1797" w:type="dxa"/>
            <w:vMerge/>
            <w:shd w:val="clear" w:color="auto" w:fill="auto"/>
            <w:vAlign w:val="center"/>
            <w:hideMark/>
          </w:tcPr>
          <w:p w:rsidR="00561060" w:rsidRPr="003771C5" w:rsidRDefault="00561060" w:rsidP="00D9713C">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Kama</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78</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6,312,930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1,415,805</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1,203,737</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2,128,207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314,017</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1,251,164</w:t>
            </w:r>
          </w:p>
        </w:tc>
      </w:tr>
      <w:tr w:rsidR="00A00C6A" w:rsidRPr="00A00C6A" w:rsidTr="003771C5">
        <w:trPr>
          <w:trHeight w:val="288"/>
        </w:trPr>
        <w:tc>
          <w:tcPr>
            <w:tcW w:w="1797" w:type="dxa"/>
            <w:vMerge w:val="restart"/>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Paktia</w:t>
            </w: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Shwak</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19</w:t>
            </w:r>
          </w:p>
        </w:tc>
        <w:tc>
          <w:tcPr>
            <w:tcW w:w="884" w:type="dxa"/>
            <w:vMerge w:val="restart"/>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Pr>
            </w:pPr>
            <w:r w:rsidRPr="003771C5">
              <w:rPr>
                <w:rFonts w:eastAsia="Times New Roman" w:cs="Times New Roman"/>
                <w:sz w:val="17"/>
                <w:szCs w:val="17"/>
              </w:rPr>
              <w:t>380</w:t>
            </w: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882,265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67,216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104,684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139,657</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488,604</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82,104</w:t>
            </w:r>
          </w:p>
        </w:tc>
      </w:tr>
      <w:tr w:rsidR="00A00C6A" w:rsidRPr="00A00C6A" w:rsidTr="003771C5">
        <w:trPr>
          <w:trHeight w:val="288"/>
        </w:trPr>
        <w:tc>
          <w:tcPr>
            <w:tcW w:w="1797" w:type="dxa"/>
            <w:vMerge/>
            <w:shd w:val="clear" w:color="auto" w:fill="auto"/>
            <w:hideMark/>
          </w:tcPr>
          <w:p w:rsidR="00561060" w:rsidRPr="003771C5" w:rsidRDefault="00561060" w:rsidP="008E01DF">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Mirzaka</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51</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2,368,185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152,501</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355,484</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412,704</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1,204,869</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242,627</w:t>
            </w:r>
          </w:p>
        </w:tc>
      </w:tr>
      <w:tr w:rsidR="00A00C6A" w:rsidRPr="00A00C6A" w:rsidTr="003771C5">
        <w:trPr>
          <w:trHeight w:val="288"/>
        </w:trPr>
        <w:tc>
          <w:tcPr>
            <w:tcW w:w="1797" w:type="dxa"/>
            <w:vMerge/>
            <w:shd w:val="clear" w:color="auto" w:fill="auto"/>
            <w:hideMark/>
          </w:tcPr>
          <w:p w:rsidR="00561060" w:rsidRPr="003771C5" w:rsidRDefault="00561060" w:rsidP="008E01DF">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Chamkani</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129</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5,990,115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320,208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926,329</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1,012,729</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3,135,470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595,380</w:t>
            </w:r>
          </w:p>
        </w:tc>
      </w:tr>
      <w:tr w:rsidR="00A00C6A" w:rsidRPr="00A00C6A" w:rsidTr="003771C5">
        <w:trPr>
          <w:trHeight w:val="288"/>
        </w:trPr>
        <w:tc>
          <w:tcPr>
            <w:tcW w:w="1797" w:type="dxa"/>
            <w:vMerge/>
            <w:shd w:val="clear" w:color="auto" w:fill="auto"/>
            <w:hideMark/>
          </w:tcPr>
          <w:p w:rsidR="00561060" w:rsidRPr="003771C5" w:rsidRDefault="00561060" w:rsidP="008E01DF">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Sayed Karam</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60</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2,786,100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298,518</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341,457</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519,938</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1,044,715</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581,472</w:t>
            </w:r>
          </w:p>
        </w:tc>
      </w:tr>
      <w:tr w:rsidR="00A00C6A" w:rsidRPr="00A00C6A" w:rsidTr="003771C5">
        <w:trPr>
          <w:trHeight w:val="288"/>
        </w:trPr>
        <w:tc>
          <w:tcPr>
            <w:tcW w:w="1797" w:type="dxa"/>
            <w:vMerge/>
            <w:shd w:val="clear" w:color="auto" w:fill="auto"/>
            <w:hideMark/>
          </w:tcPr>
          <w:p w:rsidR="00561060" w:rsidRPr="003771C5" w:rsidRDefault="00561060" w:rsidP="008E01DF">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Ahmad Abad</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76</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3,529,060</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233,076</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844,353</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1,377,023</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560,000</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514,609</w:t>
            </w:r>
          </w:p>
        </w:tc>
      </w:tr>
      <w:tr w:rsidR="00A00C6A" w:rsidRPr="00A00C6A" w:rsidTr="003771C5">
        <w:trPr>
          <w:trHeight w:val="288"/>
        </w:trPr>
        <w:tc>
          <w:tcPr>
            <w:tcW w:w="1797" w:type="dxa"/>
            <w:vMerge/>
            <w:shd w:val="clear" w:color="auto" w:fill="auto"/>
            <w:hideMark/>
          </w:tcPr>
          <w:p w:rsidR="00561060" w:rsidRPr="003771C5" w:rsidRDefault="00561060" w:rsidP="008E01DF">
            <w:pPr>
              <w:spacing w:before="100" w:beforeAutospacing="1" w:afterAutospacing="1"/>
              <w:rPr>
                <w:rFonts w:eastAsia="Times New Roman" w:cs="Times New Roman"/>
                <w:sz w:val="17"/>
                <w:szCs w:val="17"/>
              </w:rPr>
            </w:pPr>
          </w:p>
        </w:tc>
        <w:tc>
          <w:tcPr>
            <w:tcW w:w="1529" w:type="dxa"/>
            <w:shd w:val="clear" w:color="auto" w:fill="auto"/>
            <w:noWrap/>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Zadran</w:t>
            </w:r>
          </w:p>
        </w:tc>
        <w:tc>
          <w:tcPr>
            <w:tcW w:w="868" w:type="dxa"/>
            <w:shd w:val="clear" w:color="auto" w:fill="auto"/>
            <w:noWrap/>
            <w:vAlign w:val="center"/>
            <w:hideMark/>
          </w:tcPr>
          <w:p w:rsidR="00561060" w:rsidRPr="003771C5" w:rsidRDefault="00561060" w:rsidP="00D9713C">
            <w:pPr>
              <w:spacing w:before="100" w:beforeAutospacing="1" w:afterAutospacing="1"/>
              <w:jc w:val="center"/>
              <w:rPr>
                <w:rFonts w:eastAsia="Times New Roman" w:cs="Times New Roman"/>
                <w:sz w:val="17"/>
                <w:szCs w:val="17"/>
                <w:rtl/>
              </w:rPr>
            </w:pPr>
            <w:r w:rsidRPr="003771C5">
              <w:rPr>
                <w:rFonts w:eastAsia="Times New Roman" w:cs="Times New Roman"/>
                <w:sz w:val="17"/>
                <w:szCs w:val="17"/>
              </w:rPr>
              <w:t>45</w:t>
            </w:r>
          </w:p>
        </w:tc>
        <w:tc>
          <w:tcPr>
            <w:tcW w:w="884" w:type="dxa"/>
            <w:vMerge/>
            <w:shd w:val="clear" w:color="auto" w:fill="auto"/>
            <w:vAlign w:val="center"/>
            <w:hideMark/>
          </w:tcPr>
          <w:p w:rsidR="00561060" w:rsidRPr="003771C5" w:rsidRDefault="00561060" w:rsidP="00D9713C">
            <w:pPr>
              <w:spacing w:before="100" w:beforeAutospacing="1" w:afterAutospacing="1"/>
              <w:jc w:val="center"/>
              <w:rPr>
                <w:rFonts w:eastAsia="Times New Roman" w:cs="Times New Roman"/>
                <w:sz w:val="17"/>
                <w:szCs w:val="17"/>
              </w:rPr>
            </w:pPr>
          </w:p>
        </w:tc>
        <w:tc>
          <w:tcPr>
            <w:tcW w:w="110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2,089,575</w:t>
            </w:r>
          </w:p>
        </w:tc>
        <w:tc>
          <w:tcPr>
            <w:tcW w:w="136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291,379</w:t>
            </w:r>
          </w:p>
        </w:tc>
        <w:tc>
          <w:tcPr>
            <w:tcW w:w="1610"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378,750</w:t>
            </w:r>
          </w:p>
        </w:tc>
        <w:tc>
          <w:tcPr>
            <w:tcW w:w="1581"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544,436</w:t>
            </w:r>
          </w:p>
        </w:tc>
        <w:tc>
          <w:tcPr>
            <w:tcW w:w="1674"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554,938</w:t>
            </w:r>
          </w:p>
        </w:tc>
        <w:tc>
          <w:tcPr>
            <w:tcW w:w="1767" w:type="dxa"/>
            <w:shd w:val="clear" w:color="auto" w:fill="auto"/>
            <w:noWrap/>
            <w:vAlign w:val="center"/>
            <w:hideMark/>
          </w:tcPr>
          <w:p w:rsidR="00561060" w:rsidRPr="003771C5" w:rsidRDefault="00561060" w:rsidP="00D9713C">
            <w:pPr>
              <w:spacing w:before="100" w:beforeAutospacing="1" w:afterAutospacing="1"/>
              <w:rPr>
                <w:rFonts w:eastAsia="Times New Roman" w:cs="Times New Roman"/>
                <w:sz w:val="17"/>
                <w:szCs w:val="17"/>
              </w:rPr>
            </w:pPr>
            <w:r w:rsidRPr="003771C5">
              <w:rPr>
                <w:rFonts w:eastAsia="Times New Roman" w:cs="Times New Roman"/>
                <w:sz w:val="17"/>
                <w:szCs w:val="17"/>
              </w:rPr>
              <w:t>320,072</w:t>
            </w:r>
          </w:p>
        </w:tc>
      </w:tr>
      <w:tr w:rsidR="00A00C6A" w:rsidRPr="00A00C6A" w:rsidTr="003771C5">
        <w:trPr>
          <w:trHeight w:val="288"/>
        </w:trPr>
        <w:tc>
          <w:tcPr>
            <w:tcW w:w="1797" w:type="dxa"/>
            <w:shd w:val="clear" w:color="auto" w:fill="auto"/>
            <w:noWrap/>
            <w:vAlign w:val="center"/>
            <w:hideMark/>
          </w:tcPr>
          <w:p w:rsidR="00561060" w:rsidRPr="00D9713C" w:rsidRDefault="00561060" w:rsidP="008E01DF">
            <w:pPr>
              <w:spacing w:before="100" w:beforeAutospacing="1" w:afterAutospacing="1"/>
              <w:jc w:val="center"/>
              <w:rPr>
                <w:rFonts w:eastAsia="Times New Roman" w:cs="Times New Roman"/>
                <w:b/>
                <w:bCs/>
                <w:sz w:val="18"/>
                <w:szCs w:val="18"/>
              </w:rPr>
            </w:pPr>
            <w:r w:rsidRPr="00D9713C">
              <w:rPr>
                <w:rFonts w:eastAsia="Times New Roman" w:cs="Times New Roman"/>
                <w:b/>
                <w:bCs/>
                <w:sz w:val="18"/>
                <w:szCs w:val="18"/>
              </w:rPr>
              <w:t>34</w:t>
            </w:r>
          </w:p>
        </w:tc>
        <w:tc>
          <w:tcPr>
            <w:tcW w:w="1529" w:type="dxa"/>
            <w:shd w:val="clear" w:color="auto" w:fill="auto"/>
            <w:noWrap/>
            <w:vAlign w:val="center"/>
            <w:hideMark/>
          </w:tcPr>
          <w:p w:rsidR="00561060" w:rsidRPr="00D9713C" w:rsidRDefault="00561060" w:rsidP="008E01DF">
            <w:pPr>
              <w:spacing w:before="100" w:beforeAutospacing="1" w:afterAutospacing="1"/>
              <w:jc w:val="center"/>
              <w:rPr>
                <w:rFonts w:eastAsia="Times New Roman" w:cs="Times New Roman"/>
                <w:b/>
                <w:bCs/>
                <w:sz w:val="18"/>
                <w:szCs w:val="18"/>
              </w:rPr>
            </w:pPr>
            <w:r w:rsidRPr="00D9713C">
              <w:rPr>
                <w:rFonts w:eastAsia="Times New Roman" w:cs="Times New Roman"/>
                <w:b/>
                <w:bCs/>
                <w:sz w:val="18"/>
                <w:szCs w:val="18"/>
              </w:rPr>
              <w:t>124</w:t>
            </w:r>
          </w:p>
        </w:tc>
        <w:tc>
          <w:tcPr>
            <w:tcW w:w="868" w:type="dxa"/>
            <w:shd w:val="clear" w:color="auto" w:fill="auto"/>
            <w:noWrap/>
            <w:vAlign w:val="center"/>
            <w:hideMark/>
          </w:tcPr>
          <w:p w:rsidR="00561060" w:rsidRPr="00D9713C" w:rsidRDefault="00561060" w:rsidP="00D9713C">
            <w:pPr>
              <w:spacing w:before="100" w:beforeAutospacing="1" w:afterAutospacing="1"/>
              <w:jc w:val="center"/>
              <w:rPr>
                <w:rFonts w:eastAsia="Times New Roman" w:cs="Times New Roman"/>
                <w:b/>
                <w:bCs/>
                <w:sz w:val="18"/>
                <w:szCs w:val="18"/>
              </w:rPr>
            </w:pPr>
            <w:r w:rsidRPr="00D9713C">
              <w:rPr>
                <w:rFonts w:eastAsia="Times New Roman" w:cs="Times New Roman"/>
                <w:b/>
                <w:bCs/>
                <w:sz w:val="18"/>
                <w:szCs w:val="18"/>
              </w:rPr>
              <w:t>13,622</w:t>
            </w:r>
          </w:p>
        </w:tc>
        <w:tc>
          <w:tcPr>
            <w:tcW w:w="884" w:type="dxa"/>
            <w:shd w:val="clear" w:color="auto" w:fill="auto"/>
            <w:noWrap/>
            <w:vAlign w:val="center"/>
            <w:hideMark/>
          </w:tcPr>
          <w:p w:rsidR="00561060" w:rsidRPr="00D9713C" w:rsidRDefault="00561060" w:rsidP="00D9713C">
            <w:pPr>
              <w:spacing w:before="100" w:beforeAutospacing="1" w:afterAutospacing="1"/>
              <w:jc w:val="center"/>
              <w:rPr>
                <w:rFonts w:eastAsia="Times New Roman" w:cs="Times New Roman"/>
                <w:b/>
                <w:bCs/>
                <w:sz w:val="18"/>
                <w:szCs w:val="18"/>
              </w:rPr>
            </w:pPr>
            <w:r w:rsidRPr="00D9713C">
              <w:rPr>
                <w:rFonts w:eastAsia="Times New Roman" w:cs="Times New Roman"/>
                <w:b/>
                <w:bCs/>
                <w:sz w:val="18"/>
                <w:szCs w:val="18"/>
              </w:rPr>
              <w:t>13,622</w:t>
            </w:r>
          </w:p>
        </w:tc>
        <w:tc>
          <w:tcPr>
            <w:tcW w:w="1100" w:type="dxa"/>
            <w:shd w:val="clear" w:color="auto" w:fill="auto"/>
            <w:noWrap/>
            <w:vAlign w:val="center"/>
            <w:hideMark/>
          </w:tcPr>
          <w:p w:rsidR="00561060" w:rsidRPr="00D9713C" w:rsidRDefault="00561060" w:rsidP="00D9713C">
            <w:pPr>
              <w:spacing w:before="100" w:beforeAutospacing="1" w:afterAutospacing="1"/>
              <w:rPr>
                <w:rFonts w:eastAsia="Times New Roman" w:cs="Times New Roman"/>
                <w:b/>
                <w:bCs/>
                <w:sz w:val="18"/>
                <w:szCs w:val="18"/>
              </w:rPr>
            </w:pPr>
            <w:r w:rsidRPr="00D9713C">
              <w:rPr>
                <w:rFonts w:eastAsia="Times New Roman" w:cs="Times New Roman"/>
                <w:b/>
                <w:bCs/>
                <w:sz w:val="18"/>
                <w:szCs w:val="18"/>
              </w:rPr>
              <w:t>699,189,910</w:t>
            </w:r>
          </w:p>
        </w:tc>
        <w:tc>
          <w:tcPr>
            <w:tcW w:w="1364" w:type="dxa"/>
            <w:shd w:val="clear" w:color="auto" w:fill="auto"/>
            <w:noWrap/>
            <w:vAlign w:val="center"/>
            <w:hideMark/>
          </w:tcPr>
          <w:p w:rsidR="00561060" w:rsidRPr="00D9713C" w:rsidRDefault="00561060" w:rsidP="00D9713C">
            <w:pPr>
              <w:spacing w:before="100" w:beforeAutospacing="1" w:afterAutospacing="1"/>
              <w:rPr>
                <w:rFonts w:eastAsia="Times New Roman" w:cs="Times New Roman"/>
                <w:b/>
                <w:bCs/>
                <w:sz w:val="18"/>
                <w:szCs w:val="18"/>
              </w:rPr>
            </w:pPr>
            <w:r w:rsidRPr="00D9713C">
              <w:rPr>
                <w:rFonts w:eastAsia="Times New Roman" w:cs="Times New Roman"/>
                <w:b/>
                <w:bCs/>
                <w:sz w:val="18"/>
                <w:szCs w:val="18"/>
              </w:rPr>
              <w:t>54,147,567</w:t>
            </w:r>
          </w:p>
        </w:tc>
        <w:tc>
          <w:tcPr>
            <w:tcW w:w="1610" w:type="dxa"/>
            <w:shd w:val="clear" w:color="auto" w:fill="auto"/>
            <w:noWrap/>
            <w:vAlign w:val="center"/>
            <w:hideMark/>
          </w:tcPr>
          <w:p w:rsidR="00561060" w:rsidRPr="00D9713C" w:rsidRDefault="00561060" w:rsidP="00D9713C">
            <w:pPr>
              <w:spacing w:before="100" w:beforeAutospacing="1" w:afterAutospacing="1"/>
              <w:rPr>
                <w:rFonts w:eastAsia="Times New Roman" w:cs="Times New Roman"/>
                <w:b/>
                <w:bCs/>
                <w:sz w:val="18"/>
                <w:szCs w:val="18"/>
              </w:rPr>
            </w:pPr>
            <w:r w:rsidRPr="00D9713C">
              <w:rPr>
                <w:rFonts w:eastAsia="Times New Roman" w:cs="Times New Roman"/>
                <w:b/>
                <w:bCs/>
                <w:sz w:val="18"/>
                <w:szCs w:val="18"/>
              </w:rPr>
              <w:t>155,100,000</w:t>
            </w:r>
          </w:p>
        </w:tc>
        <w:tc>
          <w:tcPr>
            <w:tcW w:w="1581" w:type="dxa"/>
            <w:shd w:val="clear" w:color="auto" w:fill="auto"/>
            <w:noWrap/>
            <w:vAlign w:val="center"/>
            <w:hideMark/>
          </w:tcPr>
          <w:p w:rsidR="00561060" w:rsidRPr="00D9713C" w:rsidRDefault="00561060" w:rsidP="00D9713C">
            <w:pPr>
              <w:spacing w:before="100" w:beforeAutospacing="1" w:afterAutospacing="1"/>
              <w:rPr>
                <w:rFonts w:eastAsia="Times New Roman" w:cs="Times New Roman"/>
                <w:b/>
                <w:bCs/>
                <w:sz w:val="18"/>
                <w:szCs w:val="18"/>
              </w:rPr>
            </w:pPr>
            <w:r w:rsidRPr="00D9713C">
              <w:rPr>
                <w:rFonts w:eastAsia="Times New Roman" w:cs="Times New Roman"/>
                <w:b/>
                <w:bCs/>
                <w:sz w:val="18"/>
                <w:szCs w:val="18"/>
              </w:rPr>
              <w:t>170,000,000</w:t>
            </w:r>
          </w:p>
        </w:tc>
        <w:tc>
          <w:tcPr>
            <w:tcW w:w="1674" w:type="dxa"/>
            <w:shd w:val="clear" w:color="auto" w:fill="auto"/>
            <w:noWrap/>
            <w:vAlign w:val="center"/>
            <w:hideMark/>
          </w:tcPr>
          <w:p w:rsidR="00561060" w:rsidRPr="00D9713C" w:rsidRDefault="00561060" w:rsidP="00D9713C">
            <w:pPr>
              <w:spacing w:before="100" w:beforeAutospacing="1" w:afterAutospacing="1"/>
              <w:rPr>
                <w:rFonts w:eastAsia="Times New Roman" w:cs="Times New Roman"/>
                <w:b/>
                <w:bCs/>
                <w:sz w:val="18"/>
                <w:szCs w:val="18"/>
              </w:rPr>
            </w:pPr>
            <w:r w:rsidRPr="00D9713C">
              <w:rPr>
                <w:rFonts w:eastAsia="Times New Roman" w:cs="Times New Roman"/>
                <w:b/>
                <w:bCs/>
                <w:sz w:val="18"/>
                <w:szCs w:val="18"/>
              </w:rPr>
              <w:t>220,000,000</w:t>
            </w:r>
          </w:p>
        </w:tc>
        <w:tc>
          <w:tcPr>
            <w:tcW w:w="1767" w:type="dxa"/>
            <w:shd w:val="clear" w:color="auto" w:fill="auto"/>
            <w:noWrap/>
            <w:vAlign w:val="center"/>
            <w:hideMark/>
          </w:tcPr>
          <w:p w:rsidR="00561060" w:rsidRPr="00D9713C" w:rsidRDefault="00561060" w:rsidP="00D9713C">
            <w:pPr>
              <w:spacing w:before="100" w:beforeAutospacing="1" w:afterAutospacing="1"/>
              <w:rPr>
                <w:rFonts w:eastAsia="Times New Roman" w:cs="Times New Roman"/>
                <w:b/>
                <w:bCs/>
                <w:sz w:val="18"/>
                <w:szCs w:val="18"/>
              </w:rPr>
            </w:pPr>
            <w:r w:rsidRPr="00D9713C">
              <w:rPr>
                <w:rFonts w:eastAsia="Times New Roman" w:cs="Times New Roman"/>
                <w:b/>
                <w:bCs/>
                <w:sz w:val="18"/>
                <w:szCs w:val="18"/>
              </w:rPr>
              <w:t>99,942,343</w:t>
            </w:r>
          </w:p>
        </w:tc>
      </w:tr>
    </w:tbl>
    <w:p w:rsidR="004B50B8" w:rsidRDefault="004B50B8">
      <w:pPr>
        <w:spacing w:after="160" w:line="259" w:lineRule="auto"/>
        <w:rPr>
          <w:rFonts w:asciiTheme="minorHAnsi" w:eastAsia="Garamond" w:hAnsiTheme="minorHAnsi" w:cstheme="minorHAnsi"/>
          <w:szCs w:val="22"/>
        </w:rPr>
      </w:pPr>
      <w:r>
        <w:rPr>
          <w:rFonts w:asciiTheme="minorHAnsi" w:eastAsia="Garamond" w:hAnsiTheme="minorHAnsi" w:cstheme="minorHAnsi"/>
          <w:szCs w:val="22"/>
        </w:rPr>
        <w:br w:type="page"/>
      </w:r>
    </w:p>
    <w:p w:rsidR="00D13154" w:rsidRPr="00D13154" w:rsidRDefault="00D13154" w:rsidP="00D13154">
      <w:pPr>
        <w:pStyle w:val="Caption"/>
        <w:bidi w:val="0"/>
        <w:rPr>
          <w:rFonts w:ascii="Garamond" w:hAnsi="Garamond"/>
          <w:sz w:val="22"/>
          <w:szCs w:val="22"/>
        </w:rPr>
      </w:pPr>
      <w:bookmarkStart w:id="203" w:name="_Toc535750278"/>
      <w:r w:rsidRPr="00D13154">
        <w:rPr>
          <w:rFonts w:ascii="Garamond" w:hAnsi="Garamond"/>
          <w:sz w:val="22"/>
          <w:szCs w:val="22"/>
        </w:rPr>
        <w:lastRenderedPageBreak/>
        <w:t xml:space="preserve">Table </w:t>
      </w:r>
      <w:r w:rsidRPr="00D13154">
        <w:rPr>
          <w:rFonts w:ascii="Garamond" w:hAnsi="Garamond"/>
          <w:sz w:val="22"/>
          <w:szCs w:val="22"/>
        </w:rPr>
        <w:fldChar w:fldCharType="begin"/>
      </w:r>
      <w:r w:rsidRPr="00D13154">
        <w:rPr>
          <w:rFonts w:ascii="Garamond" w:hAnsi="Garamond"/>
          <w:sz w:val="22"/>
          <w:szCs w:val="22"/>
        </w:rPr>
        <w:instrText xml:space="preserve"> SEQ Table \* ARABIC </w:instrText>
      </w:r>
      <w:r w:rsidRPr="00D13154">
        <w:rPr>
          <w:rFonts w:ascii="Garamond" w:hAnsi="Garamond"/>
          <w:sz w:val="22"/>
          <w:szCs w:val="22"/>
        </w:rPr>
        <w:fldChar w:fldCharType="separate"/>
      </w:r>
      <w:r w:rsidR="00862183">
        <w:rPr>
          <w:rFonts w:ascii="Garamond" w:hAnsi="Garamond"/>
          <w:noProof/>
          <w:sz w:val="22"/>
          <w:szCs w:val="22"/>
        </w:rPr>
        <w:t>17</w:t>
      </w:r>
      <w:r w:rsidRPr="00D13154">
        <w:rPr>
          <w:rFonts w:ascii="Garamond" w:hAnsi="Garamond"/>
          <w:sz w:val="22"/>
          <w:szCs w:val="22"/>
        </w:rPr>
        <w:fldChar w:fldCharType="end"/>
      </w:r>
      <w:r>
        <w:rPr>
          <w:rFonts w:ascii="Garamond" w:hAnsi="Garamond"/>
          <w:sz w:val="22"/>
          <w:szCs w:val="22"/>
        </w:rPr>
        <w:t xml:space="preserve"> </w:t>
      </w:r>
      <w:r w:rsidRPr="00D13154">
        <w:rPr>
          <w:rFonts w:ascii="Garamond" w:hAnsi="Garamond"/>
          <w:sz w:val="22"/>
          <w:szCs w:val="22"/>
        </w:rPr>
        <w:t>Local Councils</w:t>
      </w:r>
      <w:bookmarkEnd w:id="203"/>
    </w:p>
    <w:tbl>
      <w:tblPr>
        <w:tblpPr w:leftFromText="180" w:rightFromText="180" w:vertAnchor="text" w:tblpXSpec="right" w:tblpY="1"/>
        <w:tblOverlap w:val="never"/>
        <w:tblW w:w="4983" w:type="pct"/>
        <w:tblBorders>
          <w:top w:val="single" w:sz="8" w:space="0" w:color="auto"/>
          <w:left w:val="single" w:sz="8" w:space="0" w:color="auto"/>
          <w:bottom w:val="single" w:sz="8" w:space="0" w:color="auto"/>
          <w:right w:val="single" w:sz="8" w:space="0" w:color="auto"/>
          <w:insideH w:val="dotted" w:sz="2" w:space="0" w:color="auto"/>
          <w:insideV w:val="dotted" w:sz="2" w:space="0" w:color="auto"/>
        </w:tblBorders>
        <w:tblLayout w:type="fixed"/>
        <w:tblLook w:val="04A0" w:firstRow="1" w:lastRow="0" w:firstColumn="1" w:lastColumn="0" w:noHBand="0" w:noVBand="1"/>
      </w:tblPr>
      <w:tblGrid>
        <w:gridCol w:w="1769"/>
        <w:gridCol w:w="1864"/>
        <w:gridCol w:w="1373"/>
        <w:gridCol w:w="1397"/>
        <w:gridCol w:w="1545"/>
        <w:gridCol w:w="1544"/>
        <w:gridCol w:w="1545"/>
        <w:gridCol w:w="1544"/>
        <w:gridCol w:w="1545"/>
      </w:tblGrid>
      <w:tr w:rsidR="00561060" w:rsidRPr="004B50B8" w:rsidTr="00542EFA">
        <w:trPr>
          <w:trHeight w:val="978"/>
        </w:trPr>
        <w:tc>
          <w:tcPr>
            <w:tcW w:w="1770" w:type="dxa"/>
            <w:shd w:val="clear" w:color="auto" w:fill="C6D9F1"/>
            <w:noWrap/>
            <w:vAlign w:val="center"/>
          </w:tcPr>
          <w:p w:rsidR="00561060" w:rsidRPr="00542EFA" w:rsidRDefault="00561060" w:rsidP="008E01DF">
            <w:pPr>
              <w:jc w:val="center"/>
              <w:rPr>
                <w:rFonts w:eastAsia="Times New Roman" w:cs="Times New Roman"/>
                <w:b/>
                <w:bCs/>
                <w:szCs w:val="22"/>
                <w:rtl/>
              </w:rPr>
            </w:pPr>
            <w:r w:rsidRPr="00542EFA">
              <w:rPr>
                <w:rFonts w:eastAsia="Times New Roman" w:cs="Times New Roman"/>
                <w:b/>
                <w:bCs/>
                <w:szCs w:val="22"/>
              </w:rPr>
              <w:t>City</w:t>
            </w:r>
          </w:p>
        </w:tc>
        <w:tc>
          <w:tcPr>
            <w:tcW w:w="1864" w:type="dxa"/>
            <w:shd w:val="clear" w:color="auto" w:fill="C6D9F1"/>
            <w:vAlign w:val="center"/>
          </w:tcPr>
          <w:p w:rsidR="00561060" w:rsidRPr="00542EFA" w:rsidRDefault="00561060" w:rsidP="008E01DF">
            <w:pPr>
              <w:jc w:val="center"/>
              <w:rPr>
                <w:rFonts w:eastAsia="Times New Roman" w:cs="Times New Roman"/>
                <w:b/>
                <w:bCs/>
                <w:szCs w:val="22"/>
                <w:rtl/>
              </w:rPr>
            </w:pPr>
            <w:r w:rsidRPr="00542EFA">
              <w:rPr>
                <w:rFonts w:eastAsia="Times New Roman" w:cs="Times New Roman"/>
                <w:b/>
                <w:bCs/>
                <w:szCs w:val="22"/>
              </w:rPr>
              <w:t>Number of Local Councils</w:t>
            </w:r>
          </w:p>
        </w:tc>
        <w:tc>
          <w:tcPr>
            <w:tcW w:w="1373" w:type="dxa"/>
            <w:shd w:val="clear" w:color="auto" w:fill="C6D9F1"/>
            <w:noWrap/>
            <w:vAlign w:val="center"/>
          </w:tcPr>
          <w:p w:rsidR="00561060" w:rsidRPr="00542EFA" w:rsidRDefault="00561060" w:rsidP="008E01DF">
            <w:pPr>
              <w:jc w:val="center"/>
              <w:rPr>
                <w:rFonts w:eastAsia="Times New Roman" w:cs="Times New Roman"/>
                <w:b/>
                <w:bCs/>
                <w:szCs w:val="22"/>
                <w:rtl/>
              </w:rPr>
            </w:pPr>
            <w:r w:rsidRPr="00542EFA">
              <w:rPr>
                <w:rFonts w:eastAsia="Times New Roman" w:cs="Times New Roman"/>
                <w:b/>
                <w:bCs/>
                <w:szCs w:val="22"/>
              </w:rPr>
              <w:t>Total</w:t>
            </w:r>
          </w:p>
        </w:tc>
        <w:tc>
          <w:tcPr>
            <w:tcW w:w="1397" w:type="dxa"/>
            <w:shd w:val="clear" w:color="auto" w:fill="C6D9F1"/>
            <w:noWrap/>
            <w:vAlign w:val="bottom"/>
          </w:tcPr>
          <w:p w:rsidR="00561060" w:rsidRPr="00542EFA" w:rsidRDefault="00561060" w:rsidP="008E01DF">
            <w:pPr>
              <w:jc w:val="center"/>
              <w:rPr>
                <w:rFonts w:eastAsia="Times New Roman" w:cs="Times New Roman"/>
                <w:b/>
                <w:bCs/>
                <w:szCs w:val="22"/>
                <w:rtl/>
              </w:rPr>
            </w:pPr>
            <w:r w:rsidRPr="00542EFA">
              <w:rPr>
                <w:rFonts w:eastAsia="Times New Roman" w:cs="Times New Roman"/>
                <w:b/>
                <w:bCs/>
                <w:szCs w:val="22"/>
              </w:rPr>
              <w:t>1396</w:t>
            </w:r>
          </w:p>
        </w:tc>
        <w:tc>
          <w:tcPr>
            <w:tcW w:w="1545" w:type="dxa"/>
            <w:shd w:val="clear" w:color="auto" w:fill="C6D9F1"/>
            <w:noWrap/>
            <w:vAlign w:val="bottom"/>
          </w:tcPr>
          <w:p w:rsidR="00561060" w:rsidRPr="00542EFA" w:rsidRDefault="00561060" w:rsidP="008E01DF">
            <w:pPr>
              <w:jc w:val="center"/>
              <w:rPr>
                <w:rFonts w:eastAsia="Times New Roman" w:cs="Times New Roman"/>
                <w:b/>
                <w:bCs/>
                <w:szCs w:val="22"/>
              </w:rPr>
            </w:pPr>
            <w:r w:rsidRPr="00542EFA">
              <w:rPr>
                <w:rFonts w:eastAsia="Times New Roman" w:cs="Times New Roman"/>
                <w:b/>
                <w:bCs/>
                <w:szCs w:val="22"/>
              </w:rPr>
              <w:t>Actual Expenses</w:t>
            </w:r>
          </w:p>
        </w:tc>
        <w:tc>
          <w:tcPr>
            <w:tcW w:w="1544" w:type="dxa"/>
            <w:shd w:val="clear" w:color="auto" w:fill="C6D9F1"/>
            <w:vAlign w:val="bottom"/>
          </w:tcPr>
          <w:p w:rsidR="00561060" w:rsidRPr="00542EFA" w:rsidRDefault="00561060" w:rsidP="008E01DF">
            <w:pPr>
              <w:jc w:val="center"/>
              <w:rPr>
                <w:rFonts w:eastAsia="Times New Roman" w:cs="Times New Roman"/>
                <w:b/>
                <w:bCs/>
                <w:szCs w:val="22"/>
              </w:rPr>
            </w:pPr>
            <w:r w:rsidRPr="00542EFA">
              <w:rPr>
                <w:rFonts w:eastAsia="Times New Roman" w:cs="Times New Roman"/>
                <w:b/>
                <w:bCs/>
                <w:szCs w:val="22"/>
              </w:rPr>
              <w:t>Expenditure Forecast until Year-end</w:t>
            </w:r>
          </w:p>
        </w:tc>
        <w:tc>
          <w:tcPr>
            <w:tcW w:w="1545" w:type="dxa"/>
            <w:shd w:val="clear" w:color="auto" w:fill="C6D9F1"/>
            <w:noWrap/>
            <w:vAlign w:val="center"/>
          </w:tcPr>
          <w:p w:rsidR="00561060" w:rsidRPr="00542EFA" w:rsidRDefault="00561060" w:rsidP="008E01DF">
            <w:pPr>
              <w:jc w:val="center"/>
              <w:rPr>
                <w:rFonts w:eastAsia="Times New Roman" w:cs="Times New Roman"/>
                <w:b/>
                <w:bCs/>
                <w:szCs w:val="22"/>
              </w:rPr>
            </w:pPr>
            <w:r w:rsidRPr="00542EFA">
              <w:rPr>
                <w:rFonts w:eastAsia="Times New Roman" w:cs="Times New Roman"/>
                <w:b/>
                <w:bCs/>
                <w:szCs w:val="22"/>
              </w:rPr>
              <w:t>1398</w:t>
            </w:r>
          </w:p>
        </w:tc>
        <w:tc>
          <w:tcPr>
            <w:tcW w:w="1544" w:type="dxa"/>
            <w:shd w:val="clear" w:color="auto" w:fill="C6D9F1"/>
            <w:noWrap/>
            <w:vAlign w:val="center"/>
          </w:tcPr>
          <w:p w:rsidR="00561060" w:rsidRPr="00542EFA" w:rsidRDefault="00561060" w:rsidP="008E01DF">
            <w:pPr>
              <w:jc w:val="center"/>
              <w:rPr>
                <w:rFonts w:eastAsia="Times New Roman" w:cs="Times New Roman"/>
                <w:b/>
                <w:bCs/>
                <w:szCs w:val="22"/>
              </w:rPr>
            </w:pPr>
            <w:r w:rsidRPr="00542EFA">
              <w:rPr>
                <w:rFonts w:eastAsia="Times New Roman" w:cs="Times New Roman"/>
                <w:b/>
                <w:bCs/>
                <w:szCs w:val="22"/>
              </w:rPr>
              <w:t>1399</w:t>
            </w:r>
          </w:p>
        </w:tc>
        <w:tc>
          <w:tcPr>
            <w:tcW w:w="1545" w:type="dxa"/>
            <w:shd w:val="clear" w:color="auto" w:fill="C6D9F1"/>
            <w:noWrap/>
            <w:vAlign w:val="center"/>
          </w:tcPr>
          <w:p w:rsidR="00561060" w:rsidRPr="00542EFA" w:rsidRDefault="00561060" w:rsidP="008E01DF">
            <w:pPr>
              <w:jc w:val="center"/>
              <w:rPr>
                <w:rFonts w:eastAsia="Times New Roman" w:cs="Times New Roman"/>
                <w:b/>
                <w:bCs/>
                <w:szCs w:val="22"/>
              </w:rPr>
            </w:pPr>
            <w:r w:rsidRPr="00542EFA">
              <w:rPr>
                <w:rFonts w:eastAsia="Times New Roman" w:cs="Times New Roman"/>
                <w:b/>
                <w:bCs/>
                <w:szCs w:val="22"/>
              </w:rPr>
              <w:t>1400</w:t>
            </w:r>
          </w:p>
        </w:tc>
      </w:tr>
      <w:tr w:rsidR="00561060" w:rsidRPr="004B50B8" w:rsidTr="00542EFA">
        <w:trPr>
          <w:trHeight w:val="978"/>
        </w:trPr>
        <w:tc>
          <w:tcPr>
            <w:tcW w:w="1770" w:type="dxa"/>
            <w:shd w:val="clear" w:color="auto" w:fill="auto"/>
            <w:noWrap/>
            <w:vAlign w:val="center"/>
            <w:hideMark/>
          </w:tcPr>
          <w:p w:rsidR="00561060" w:rsidRPr="004B50B8" w:rsidRDefault="00561060" w:rsidP="008E01DF">
            <w:pPr>
              <w:rPr>
                <w:rFonts w:eastAsia="Times New Roman" w:cs="Times New Roman"/>
                <w:sz w:val="18"/>
                <w:szCs w:val="18"/>
              </w:rPr>
            </w:pPr>
            <w:r w:rsidRPr="004B50B8">
              <w:rPr>
                <w:rFonts w:eastAsia="Times New Roman" w:cs="Times New Roman"/>
                <w:sz w:val="18"/>
                <w:szCs w:val="18"/>
              </w:rPr>
              <w:t>Kandahar</w:t>
            </w:r>
          </w:p>
        </w:tc>
        <w:tc>
          <w:tcPr>
            <w:tcW w:w="1864" w:type="dxa"/>
            <w:shd w:val="clear" w:color="auto" w:fill="auto"/>
            <w:noWrap/>
            <w:vAlign w:val="center"/>
            <w:hideMark/>
          </w:tcPr>
          <w:p w:rsidR="00561060" w:rsidRPr="004B50B8" w:rsidRDefault="00561060" w:rsidP="008E01DF">
            <w:pPr>
              <w:jc w:val="center"/>
              <w:rPr>
                <w:rFonts w:eastAsia="Times New Roman" w:cs="Times New Roman"/>
                <w:sz w:val="18"/>
                <w:szCs w:val="18"/>
                <w:rtl/>
              </w:rPr>
            </w:pPr>
            <w:r w:rsidRPr="004B50B8">
              <w:rPr>
                <w:rFonts w:eastAsia="Times New Roman" w:cs="Times New Roman"/>
                <w:sz w:val="18"/>
                <w:szCs w:val="18"/>
              </w:rPr>
              <w:t>300</w:t>
            </w:r>
          </w:p>
        </w:tc>
        <w:tc>
          <w:tcPr>
            <w:tcW w:w="1373"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33,000,000</w:t>
            </w:r>
          </w:p>
        </w:tc>
        <w:tc>
          <w:tcPr>
            <w:tcW w:w="1397"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1,190,572</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6,100,815</w:t>
            </w:r>
          </w:p>
        </w:tc>
        <w:tc>
          <w:tcPr>
            <w:tcW w:w="1544"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3,874,000</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11,573,000</w:t>
            </w:r>
          </w:p>
        </w:tc>
        <w:tc>
          <w:tcPr>
            <w:tcW w:w="1544"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7,657,000</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2,604,613</w:t>
            </w:r>
          </w:p>
        </w:tc>
      </w:tr>
      <w:tr w:rsidR="00561060" w:rsidRPr="004B50B8" w:rsidTr="00542EFA">
        <w:trPr>
          <w:trHeight w:val="978"/>
        </w:trPr>
        <w:tc>
          <w:tcPr>
            <w:tcW w:w="1770" w:type="dxa"/>
            <w:shd w:val="clear" w:color="auto" w:fill="auto"/>
            <w:noWrap/>
            <w:vAlign w:val="center"/>
            <w:hideMark/>
          </w:tcPr>
          <w:p w:rsidR="00561060" w:rsidRPr="004B50B8" w:rsidRDefault="00561060" w:rsidP="008E01DF">
            <w:pPr>
              <w:rPr>
                <w:rFonts w:eastAsia="Times New Roman" w:cs="Times New Roman"/>
                <w:sz w:val="18"/>
                <w:szCs w:val="18"/>
              </w:rPr>
            </w:pPr>
            <w:r w:rsidRPr="004B50B8">
              <w:rPr>
                <w:rFonts w:eastAsia="Times New Roman" w:cs="Times New Roman"/>
                <w:sz w:val="18"/>
                <w:szCs w:val="18"/>
              </w:rPr>
              <w:t>Jalalabad</w:t>
            </w:r>
          </w:p>
        </w:tc>
        <w:tc>
          <w:tcPr>
            <w:tcW w:w="1864" w:type="dxa"/>
            <w:shd w:val="clear" w:color="auto" w:fill="auto"/>
            <w:noWrap/>
            <w:vAlign w:val="center"/>
            <w:hideMark/>
          </w:tcPr>
          <w:p w:rsidR="00561060" w:rsidRPr="004B50B8" w:rsidRDefault="00561060" w:rsidP="008E01DF">
            <w:pPr>
              <w:jc w:val="center"/>
              <w:rPr>
                <w:rFonts w:eastAsia="Times New Roman" w:cs="Times New Roman"/>
                <w:sz w:val="18"/>
                <w:szCs w:val="18"/>
                <w:rtl/>
              </w:rPr>
            </w:pPr>
            <w:r w:rsidRPr="004B50B8">
              <w:rPr>
                <w:rFonts w:eastAsia="Times New Roman" w:cs="Times New Roman"/>
                <w:sz w:val="18"/>
                <w:szCs w:val="18"/>
              </w:rPr>
              <w:t>200</w:t>
            </w:r>
          </w:p>
        </w:tc>
        <w:tc>
          <w:tcPr>
            <w:tcW w:w="1373"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22,000,000</w:t>
            </w:r>
          </w:p>
        </w:tc>
        <w:tc>
          <w:tcPr>
            <w:tcW w:w="1397"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1,668,149</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1,777,451</w:t>
            </w:r>
          </w:p>
        </w:tc>
        <w:tc>
          <w:tcPr>
            <w:tcW w:w="1544"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2,372,000</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6,335,000</w:t>
            </w:r>
          </w:p>
        </w:tc>
        <w:tc>
          <w:tcPr>
            <w:tcW w:w="1544"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7,600,000</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2,247,400</w:t>
            </w:r>
          </w:p>
        </w:tc>
      </w:tr>
      <w:tr w:rsidR="00561060" w:rsidRPr="004B50B8" w:rsidTr="00542EFA">
        <w:trPr>
          <w:trHeight w:val="978"/>
        </w:trPr>
        <w:tc>
          <w:tcPr>
            <w:tcW w:w="1770" w:type="dxa"/>
            <w:shd w:val="clear" w:color="auto" w:fill="auto"/>
            <w:noWrap/>
            <w:vAlign w:val="center"/>
            <w:hideMark/>
          </w:tcPr>
          <w:p w:rsidR="00561060" w:rsidRPr="004B50B8" w:rsidRDefault="00561060" w:rsidP="008E01DF">
            <w:pPr>
              <w:rPr>
                <w:rFonts w:eastAsia="Times New Roman" w:cs="Times New Roman"/>
                <w:sz w:val="18"/>
                <w:szCs w:val="18"/>
              </w:rPr>
            </w:pPr>
            <w:r w:rsidRPr="004B50B8">
              <w:rPr>
                <w:rFonts w:eastAsia="Times New Roman" w:cs="Times New Roman"/>
                <w:sz w:val="18"/>
                <w:szCs w:val="18"/>
              </w:rPr>
              <w:t>Herat</w:t>
            </w:r>
          </w:p>
        </w:tc>
        <w:tc>
          <w:tcPr>
            <w:tcW w:w="1864" w:type="dxa"/>
            <w:shd w:val="clear" w:color="auto" w:fill="auto"/>
            <w:noWrap/>
            <w:vAlign w:val="center"/>
            <w:hideMark/>
          </w:tcPr>
          <w:p w:rsidR="00561060" w:rsidRPr="004B50B8" w:rsidRDefault="00561060" w:rsidP="008E01DF">
            <w:pPr>
              <w:jc w:val="center"/>
              <w:rPr>
                <w:rFonts w:eastAsia="Times New Roman" w:cs="Times New Roman"/>
                <w:sz w:val="18"/>
                <w:szCs w:val="18"/>
                <w:rtl/>
              </w:rPr>
            </w:pPr>
            <w:r w:rsidRPr="004B50B8">
              <w:rPr>
                <w:rFonts w:eastAsia="Times New Roman" w:cs="Times New Roman"/>
                <w:sz w:val="18"/>
                <w:szCs w:val="18"/>
              </w:rPr>
              <w:t>200</w:t>
            </w:r>
          </w:p>
        </w:tc>
        <w:tc>
          <w:tcPr>
            <w:tcW w:w="1373"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22,000,000</w:t>
            </w:r>
          </w:p>
        </w:tc>
        <w:tc>
          <w:tcPr>
            <w:tcW w:w="1397"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2,755,925</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4,419,608</w:t>
            </w:r>
          </w:p>
        </w:tc>
        <w:tc>
          <w:tcPr>
            <w:tcW w:w="1544"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2,044,000</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7,332,000</w:t>
            </w:r>
          </w:p>
        </w:tc>
        <w:tc>
          <w:tcPr>
            <w:tcW w:w="1544"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5,448,467</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w:t>
            </w:r>
          </w:p>
        </w:tc>
      </w:tr>
      <w:tr w:rsidR="00561060" w:rsidRPr="004B50B8" w:rsidTr="00542EFA">
        <w:trPr>
          <w:trHeight w:val="978"/>
        </w:trPr>
        <w:tc>
          <w:tcPr>
            <w:tcW w:w="1770" w:type="dxa"/>
            <w:shd w:val="clear" w:color="auto" w:fill="auto"/>
            <w:noWrap/>
            <w:vAlign w:val="center"/>
            <w:hideMark/>
          </w:tcPr>
          <w:p w:rsidR="00561060" w:rsidRPr="004B50B8" w:rsidRDefault="00561060" w:rsidP="008E01DF">
            <w:pPr>
              <w:rPr>
                <w:rFonts w:eastAsia="Times New Roman" w:cs="Times New Roman"/>
                <w:sz w:val="18"/>
                <w:szCs w:val="18"/>
              </w:rPr>
            </w:pPr>
            <w:r w:rsidRPr="004B50B8">
              <w:rPr>
                <w:rFonts w:eastAsia="Times New Roman" w:cs="Times New Roman"/>
                <w:sz w:val="18"/>
                <w:szCs w:val="18"/>
              </w:rPr>
              <w:t>Mazar</w:t>
            </w:r>
          </w:p>
        </w:tc>
        <w:tc>
          <w:tcPr>
            <w:tcW w:w="1864" w:type="dxa"/>
            <w:shd w:val="clear" w:color="auto" w:fill="auto"/>
            <w:noWrap/>
            <w:vAlign w:val="center"/>
            <w:hideMark/>
          </w:tcPr>
          <w:p w:rsidR="00561060" w:rsidRPr="004B50B8" w:rsidRDefault="00561060" w:rsidP="008E01DF">
            <w:pPr>
              <w:jc w:val="center"/>
              <w:rPr>
                <w:rFonts w:eastAsia="Times New Roman" w:cs="Times New Roman"/>
                <w:sz w:val="18"/>
                <w:szCs w:val="18"/>
                <w:rtl/>
              </w:rPr>
            </w:pPr>
            <w:r w:rsidRPr="004B50B8">
              <w:rPr>
                <w:rFonts w:eastAsia="Times New Roman" w:cs="Times New Roman"/>
                <w:sz w:val="18"/>
                <w:szCs w:val="18"/>
              </w:rPr>
              <w:t>150</w:t>
            </w:r>
          </w:p>
        </w:tc>
        <w:tc>
          <w:tcPr>
            <w:tcW w:w="1373"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16,500,000</w:t>
            </w:r>
          </w:p>
        </w:tc>
        <w:tc>
          <w:tcPr>
            <w:tcW w:w="1397"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2,381,143</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4,234,416</w:t>
            </w:r>
          </w:p>
        </w:tc>
        <w:tc>
          <w:tcPr>
            <w:tcW w:w="1544"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2,366,000</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6,683,000</w:t>
            </w:r>
          </w:p>
        </w:tc>
        <w:tc>
          <w:tcPr>
            <w:tcW w:w="1544"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835,441</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p>
        </w:tc>
      </w:tr>
      <w:tr w:rsidR="00561060" w:rsidRPr="004B50B8" w:rsidTr="00542EFA">
        <w:trPr>
          <w:trHeight w:val="978"/>
        </w:trPr>
        <w:tc>
          <w:tcPr>
            <w:tcW w:w="1770" w:type="dxa"/>
            <w:shd w:val="clear" w:color="auto" w:fill="auto"/>
            <w:noWrap/>
            <w:vAlign w:val="center"/>
            <w:hideMark/>
          </w:tcPr>
          <w:p w:rsidR="00561060" w:rsidRPr="004B50B8" w:rsidRDefault="00561060" w:rsidP="008E01DF">
            <w:pPr>
              <w:rPr>
                <w:rFonts w:eastAsia="Times New Roman" w:cs="Times New Roman"/>
                <w:sz w:val="18"/>
                <w:szCs w:val="18"/>
              </w:rPr>
            </w:pPr>
            <w:r w:rsidRPr="004B50B8">
              <w:rPr>
                <w:rFonts w:eastAsia="Times New Roman" w:cs="Times New Roman"/>
                <w:sz w:val="18"/>
                <w:szCs w:val="18"/>
              </w:rPr>
              <w:t>Kabul</w:t>
            </w:r>
          </w:p>
        </w:tc>
        <w:tc>
          <w:tcPr>
            <w:tcW w:w="1864" w:type="dxa"/>
            <w:shd w:val="clear" w:color="auto" w:fill="auto"/>
            <w:noWrap/>
            <w:vAlign w:val="center"/>
            <w:hideMark/>
          </w:tcPr>
          <w:p w:rsidR="00561060" w:rsidRPr="004B50B8" w:rsidRDefault="00561060" w:rsidP="008E01DF">
            <w:pPr>
              <w:jc w:val="center"/>
              <w:rPr>
                <w:rFonts w:eastAsia="Times New Roman" w:cs="Times New Roman"/>
                <w:sz w:val="18"/>
                <w:szCs w:val="18"/>
                <w:rtl/>
              </w:rPr>
            </w:pPr>
          </w:p>
        </w:tc>
        <w:tc>
          <w:tcPr>
            <w:tcW w:w="1373"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30,270,780</w:t>
            </w:r>
          </w:p>
        </w:tc>
        <w:tc>
          <w:tcPr>
            <w:tcW w:w="1397"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4,417,853</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4,941,645</w:t>
            </w:r>
          </w:p>
        </w:tc>
        <w:tc>
          <w:tcPr>
            <w:tcW w:w="1544"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2,940,000</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8,474,855</w:t>
            </w:r>
          </w:p>
        </w:tc>
        <w:tc>
          <w:tcPr>
            <w:tcW w:w="1544"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6,438,327</w:t>
            </w:r>
          </w:p>
        </w:tc>
        <w:tc>
          <w:tcPr>
            <w:tcW w:w="1545" w:type="dxa"/>
            <w:shd w:val="clear" w:color="auto" w:fill="auto"/>
            <w:noWrap/>
            <w:vAlign w:val="center"/>
            <w:hideMark/>
          </w:tcPr>
          <w:p w:rsidR="00561060" w:rsidRPr="004B50B8" w:rsidRDefault="00561060" w:rsidP="004B50B8">
            <w:pPr>
              <w:jc w:val="right"/>
              <w:rPr>
                <w:rFonts w:eastAsia="Times New Roman" w:cs="Times New Roman"/>
                <w:sz w:val="18"/>
                <w:szCs w:val="18"/>
              </w:rPr>
            </w:pPr>
            <w:r w:rsidRPr="004B50B8">
              <w:rPr>
                <w:rFonts w:eastAsia="Times New Roman" w:cs="Times New Roman"/>
                <w:sz w:val="18"/>
                <w:szCs w:val="18"/>
              </w:rPr>
              <w:t>3,058,100</w:t>
            </w:r>
          </w:p>
        </w:tc>
      </w:tr>
      <w:tr w:rsidR="00561060" w:rsidRPr="004B50B8" w:rsidTr="00542EFA">
        <w:trPr>
          <w:trHeight w:val="978"/>
        </w:trPr>
        <w:tc>
          <w:tcPr>
            <w:tcW w:w="1770" w:type="dxa"/>
            <w:shd w:val="clear" w:color="auto" w:fill="C6D9F1"/>
            <w:noWrap/>
            <w:vAlign w:val="center"/>
            <w:hideMark/>
          </w:tcPr>
          <w:p w:rsidR="00561060" w:rsidRPr="00542EFA" w:rsidRDefault="00561060" w:rsidP="004B50B8">
            <w:pPr>
              <w:rPr>
                <w:rFonts w:eastAsia="Times New Roman" w:cs="Times New Roman"/>
                <w:b/>
                <w:bCs/>
                <w:szCs w:val="22"/>
              </w:rPr>
            </w:pPr>
            <w:r w:rsidRPr="00542EFA">
              <w:rPr>
                <w:rFonts w:eastAsia="Times New Roman" w:cs="Times New Roman"/>
                <w:b/>
                <w:bCs/>
                <w:szCs w:val="22"/>
              </w:rPr>
              <w:t>Total</w:t>
            </w:r>
          </w:p>
        </w:tc>
        <w:tc>
          <w:tcPr>
            <w:tcW w:w="1864" w:type="dxa"/>
            <w:shd w:val="clear" w:color="auto" w:fill="C6D9F1"/>
            <w:noWrap/>
            <w:vAlign w:val="center"/>
            <w:hideMark/>
          </w:tcPr>
          <w:p w:rsidR="00561060" w:rsidRPr="00542EFA" w:rsidRDefault="00561060" w:rsidP="008E01DF">
            <w:pPr>
              <w:jc w:val="center"/>
              <w:rPr>
                <w:rFonts w:eastAsia="Times New Roman" w:cs="Times New Roman"/>
                <w:b/>
                <w:bCs/>
                <w:szCs w:val="22"/>
                <w:rtl/>
              </w:rPr>
            </w:pPr>
            <w:r w:rsidRPr="00542EFA">
              <w:rPr>
                <w:rFonts w:eastAsia="Times New Roman" w:cs="Times New Roman"/>
                <w:b/>
                <w:bCs/>
                <w:szCs w:val="22"/>
              </w:rPr>
              <w:t>850</w:t>
            </w:r>
          </w:p>
        </w:tc>
        <w:tc>
          <w:tcPr>
            <w:tcW w:w="1373" w:type="dxa"/>
            <w:shd w:val="clear" w:color="auto" w:fill="C6D9F1"/>
            <w:noWrap/>
            <w:vAlign w:val="center"/>
            <w:hideMark/>
          </w:tcPr>
          <w:p w:rsidR="00561060" w:rsidRPr="00542EFA" w:rsidRDefault="00561060" w:rsidP="004B50B8">
            <w:pPr>
              <w:jc w:val="right"/>
              <w:rPr>
                <w:rFonts w:eastAsia="Times New Roman" w:cs="Times New Roman"/>
                <w:b/>
                <w:bCs/>
                <w:szCs w:val="22"/>
              </w:rPr>
            </w:pPr>
            <w:r w:rsidRPr="00542EFA">
              <w:rPr>
                <w:rFonts w:eastAsia="Times New Roman" w:cs="Times New Roman"/>
                <w:b/>
                <w:bCs/>
                <w:szCs w:val="22"/>
              </w:rPr>
              <w:t>123,770,780</w:t>
            </w:r>
          </w:p>
        </w:tc>
        <w:tc>
          <w:tcPr>
            <w:tcW w:w="1397" w:type="dxa"/>
            <w:shd w:val="clear" w:color="auto" w:fill="C6D9F1"/>
            <w:noWrap/>
            <w:vAlign w:val="center"/>
            <w:hideMark/>
          </w:tcPr>
          <w:p w:rsidR="00561060" w:rsidRPr="00542EFA" w:rsidRDefault="00561060" w:rsidP="004B50B8">
            <w:pPr>
              <w:jc w:val="right"/>
              <w:rPr>
                <w:rFonts w:eastAsia="Times New Roman" w:cs="Times New Roman"/>
                <w:b/>
                <w:bCs/>
                <w:szCs w:val="22"/>
              </w:rPr>
            </w:pPr>
            <w:r w:rsidRPr="00542EFA">
              <w:rPr>
                <w:rFonts w:eastAsia="Times New Roman" w:cs="Times New Roman"/>
                <w:b/>
                <w:bCs/>
                <w:szCs w:val="22"/>
              </w:rPr>
              <w:t>12,413,642</w:t>
            </w:r>
          </w:p>
        </w:tc>
        <w:tc>
          <w:tcPr>
            <w:tcW w:w="1545" w:type="dxa"/>
            <w:shd w:val="clear" w:color="auto" w:fill="C6D9F1"/>
            <w:noWrap/>
            <w:vAlign w:val="center"/>
            <w:hideMark/>
          </w:tcPr>
          <w:p w:rsidR="00561060" w:rsidRPr="00542EFA" w:rsidRDefault="00561060" w:rsidP="004B50B8">
            <w:pPr>
              <w:jc w:val="right"/>
              <w:rPr>
                <w:rFonts w:eastAsia="Times New Roman" w:cs="Times New Roman"/>
                <w:b/>
                <w:bCs/>
                <w:szCs w:val="22"/>
              </w:rPr>
            </w:pPr>
            <w:r w:rsidRPr="00542EFA">
              <w:rPr>
                <w:rFonts w:eastAsia="Times New Roman" w:cs="Times New Roman"/>
                <w:b/>
                <w:bCs/>
                <w:szCs w:val="22"/>
              </w:rPr>
              <w:t>21,473,935</w:t>
            </w:r>
          </w:p>
        </w:tc>
        <w:tc>
          <w:tcPr>
            <w:tcW w:w="1544" w:type="dxa"/>
            <w:shd w:val="clear" w:color="auto" w:fill="C6D9F1"/>
            <w:noWrap/>
            <w:vAlign w:val="center"/>
            <w:hideMark/>
          </w:tcPr>
          <w:p w:rsidR="00561060" w:rsidRPr="00542EFA" w:rsidRDefault="00561060" w:rsidP="004B50B8">
            <w:pPr>
              <w:jc w:val="right"/>
              <w:rPr>
                <w:rFonts w:eastAsia="Times New Roman" w:cs="Times New Roman"/>
                <w:b/>
                <w:bCs/>
                <w:szCs w:val="22"/>
              </w:rPr>
            </w:pPr>
            <w:r w:rsidRPr="00542EFA">
              <w:rPr>
                <w:rFonts w:eastAsia="Times New Roman" w:cs="Times New Roman"/>
                <w:b/>
                <w:bCs/>
                <w:szCs w:val="22"/>
              </w:rPr>
              <w:t>13,596,000</w:t>
            </w:r>
          </w:p>
        </w:tc>
        <w:tc>
          <w:tcPr>
            <w:tcW w:w="1545" w:type="dxa"/>
            <w:shd w:val="clear" w:color="auto" w:fill="C6D9F1"/>
            <w:noWrap/>
            <w:vAlign w:val="center"/>
            <w:hideMark/>
          </w:tcPr>
          <w:p w:rsidR="00561060" w:rsidRPr="00542EFA" w:rsidRDefault="00561060" w:rsidP="004B50B8">
            <w:pPr>
              <w:jc w:val="right"/>
              <w:rPr>
                <w:rFonts w:eastAsia="Times New Roman" w:cs="Times New Roman"/>
                <w:b/>
                <w:bCs/>
                <w:szCs w:val="22"/>
              </w:rPr>
            </w:pPr>
            <w:r w:rsidRPr="00542EFA">
              <w:rPr>
                <w:rFonts w:eastAsia="Times New Roman" w:cs="Times New Roman"/>
                <w:b/>
                <w:bCs/>
                <w:szCs w:val="22"/>
              </w:rPr>
              <w:t>40,397,855</w:t>
            </w:r>
          </w:p>
        </w:tc>
        <w:tc>
          <w:tcPr>
            <w:tcW w:w="1544" w:type="dxa"/>
            <w:shd w:val="clear" w:color="auto" w:fill="C6D9F1"/>
            <w:noWrap/>
            <w:vAlign w:val="center"/>
            <w:hideMark/>
          </w:tcPr>
          <w:p w:rsidR="00561060" w:rsidRPr="00542EFA" w:rsidRDefault="00561060" w:rsidP="004B50B8">
            <w:pPr>
              <w:jc w:val="right"/>
              <w:rPr>
                <w:rFonts w:eastAsia="Times New Roman" w:cs="Times New Roman"/>
                <w:b/>
                <w:bCs/>
                <w:szCs w:val="22"/>
              </w:rPr>
            </w:pPr>
            <w:r w:rsidRPr="00542EFA">
              <w:rPr>
                <w:rFonts w:eastAsia="Times New Roman" w:cs="Times New Roman"/>
                <w:b/>
                <w:bCs/>
                <w:szCs w:val="22"/>
              </w:rPr>
              <w:t>27,979,235</w:t>
            </w:r>
          </w:p>
        </w:tc>
        <w:tc>
          <w:tcPr>
            <w:tcW w:w="1545" w:type="dxa"/>
            <w:shd w:val="clear" w:color="auto" w:fill="C6D9F1"/>
            <w:noWrap/>
            <w:vAlign w:val="center"/>
            <w:hideMark/>
          </w:tcPr>
          <w:p w:rsidR="00561060" w:rsidRPr="00542EFA" w:rsidRDefault="00561060" w:rsidP="004B50B8">
            <w:pPr>
              <w:jc w:val="right"/>
              <w:rPr>
                <w:rFonts w:eastAsia="Times New Roman" w:cs="Times New Roman"/>
                <w:b/>
                <w:bCs/>
                <w:szCs w:val="22"/>
              </w:rPr>
            </w:pPr>
            <w:r w:rsidRPr="00542EFA">
              <w:rPr>
                <w:rFonts w:eastAsia="Times New Roman" w:cs="Times New Roman"/>
                <w:b/>
                <w:bCs/>
                <w:szCs w:val="22"/>
              </w:rPr>
              <w:t>7,910,113</w:t>
            </w:r>
          </w:p>
        </w:tc>
      </w:tr>
    </w:tbl>
    <w:p w:rsidR="004B50B8" w:rsidRDefault="004B50B8" w:rsidP="004B50B8">
      <w:pPr>
        <w:pStyle w:val="Caption"/>
        <w:keepNext/>
        <w:bidi w:val="0"/>
        <w:spacing w:before="240" w:after="0"/>
        <w:rPr>
          <w:rFonts w:ascii="Times New Roman" w:hAnsi="Times New Roman" w:cs="Times New Roman"/>
          <w:sz w:val="22"/>
          <w:szCs w:val="22"/>
        </w:rPr>
      </w:pPr>
      <w:bookmarkStart w:id="204" w:name="_Toc529119690"/>
    </w:p>
    <w:p w:rsidR="004B50B8" w:rsidRDefault="004B50B8" w:rsidP="004B50B8">
      <w:pPr>
        <w:rPr>
          <w:color w:val="4472C4"/>
          <w:lang w:bidi="fa-IR"/>
        </w:rPr>
      </w:pPr>
      <w:r>
        <w:br w:type="page"/>
      </w:r>
    </w:p>
    <w:p w:rsidR="00561060" w:rsidRPr="00542EFA" w:rsidRDefault="00D13154" w:rsidP="00D13154">
      <w:pPr>
        <w:pStyle w:val="Caption"/>
        <w:bidi w:val="0"/>
        <w:rPr>
          <w:rFonts w:ascii="Garamond" w:hAnsi="Garamond"/>
          <w:sz w:val="22"/>
          <w:szCs w:val="22"/>
        </w:rPr>
      </w:pPr>
      <w:bookmarkStart w:id="205" w:name="_Toc535750279"/>
      <w:r w:rsidRPr="00D13154">
        <w:rPr>
          <w:rFonts w:ascii="Garamond" w:hAnsi="Garamond"/>
          <w:sz w:val="22"/>
          <w:szCs w:val="22"/>
        </w:rPr>
        <w:lastRenderedPageBreak/>
        <w:t>Table</w:t>
      </w:r>
      <w:r w:rsidRPr="00D13154">
        <w:rPr>
          <w:rFonts w:ascii="Garamond" w:hAnsi="Garamond"/>
          <w:sz w:val="22"/>
          <w:szCs w:val="22"/>
          <w:rtl/>
        </w:rPr>
        <w:t xml:space="preserve"> </w:t>
      </w:r>
      <w:r w:rsidRPr="00D13154">
        <w:rPr>
          <w:rFonts w:ascii="Garamond" w:hAnsi="Garamond"/>
          <w:sz w:val="22"/>
          <w:szCs w:val="22"/>
          <w:rtl/>
        </w:rPr>
        <w:fldChar w:fldCharType="begin"/>
      </w:r>
      <w:r w:rsidRPr="00D13154">
        <w:rPr>
          <w:rFonts w:ascii="Garamond" w:hAnsi="Garamond"/>
          <w:sz w:val="22"/>
          <w:szCs w:val="22"/>
          <w:rtl/>
        </w:rPr>
        <w:instrText xml:space="preserve"> </w:instrText>
      </w:r>
      <w:r w:rsidRPr="00D13154">
        <w:rPr>
          <w:rFonts w:ascii="Garamond" w:hAnsi="Garamond"/>
          <w:sz w:val="22"/>
          <w:szCs w:val="22"/>
        </w:rPr>
        <w:instrText>SEQ</w:instrText>
      </w:r>
      <w:r w:rsidRPr="00D13154">
        <w:rPr>
          <w:rFonts w:ascii="Garamond" w:hAnsi="Garamond"/>
          <w:sz w:val="22"/>
          <w:szCs w:val="22"/>
          <w:rtl/>
        </w:rPr>
        <w:instrText xml:space="preserve"> </w:instrText>
      </w:r>
      <w:r w:rsidRPr="00D13154">
        <w:rPr>
          <w:rFonts w:ascii="Garamond" w:hAnsi="Garamond"/>
          <w:sz w:val="22"/>
          <w:szCs w:val="22"/>
        </w:rPr>
        <w:instrText>Table \* ARABIC</w:instrText>
      </w:r>
      <w:r w:rsidRPr="00D13154">
        <w:rPr>
          <w:rFonts w:ascii="Garamond" w:hAnsi="Garamond"/>
          <w:sz w:val="22"/>
          <w:szCs w:val="22"/>
          <w:rtl/>
        </w:rPr>
        <w:instrText xml:space="preserve"> </w:instrText>
      </w:r>
      <w:r w:rsidRPr="00D13154">
        <w:rPr>
          <w:rFonts w:ascii="Garamond" w:hAnsi="Garamond"/>
          <w:sz w:val="22"/>
          <w:szCs w:val="22"/>
          <w:rtl/>
        </w:rPr>
        <w:fldChar w:fldCharType="separate"/>
      </w:r>
      <w:r w:rsidR="00862183">
        <w:rPr>
          <w:rFonts w:ascii="Garamond" w:hAnsi="Garamond"/>
          <w:noProof/>
          <w:sz w:val="22"/>
          <w:szCs w:val="22"/>
          <w:rtl/>
        </w:rPr>
        <w:t>18</w:t>
      </w:r>
      <w:r w:rsidRPr="00D13154">
        <w:rPr>
          <w:rFonts w:ascii="Garamond" w:hAnsi="Garamond"/>
          <w:sz w:val="22"/>
          <w:szCs w:val="22"/>
          <w:rtl/>
        </w:rPr>
        <w:fldChar w:fldCharType="end"/>
      </w:r>
      <w:r w:rsidRPr="00D13154">
        <w:rPr>
          <w:rFonts w:ascii="Garamond" w:hAnsi="Garamond"/>
          <w:sz w:val="22"/>
          <w:szCs w:val="22"/>
        </w:rPr>
        <w:t xml:space="preserve">Quarter Report by Loans Department </w:t>
      </w:r>
      <w:r w:rsidRPr="00D13154">
        <w:rPr>
          <w:rFonts w:ascii="Garamond" w:hAnsi="Garamond" w:cs="Times New Roman"/>
          <w:sz w:val="22"/>
          <w:szCs w:val="22"/>
        </w:rPr>
        <w:t>–</w:t>
      </w:r>
      <w:r w:rsidRPr="00D13154">
        <w:rPr>
          <w:rFonts w:ascii="Garamond" w:hAnsi="Garamond"/>
          <w:sz w:val="22"/>
          <w:szCs w:val="22"/>
        </w:rPr>
        <w:t xml:space="preserve"> Third Quarter of FY 1397</w:t>
      </w:r>
      <w:bookmarkEnd w:id="205"/>
    </w:p>
    <w:tbl>
      <w:tblPr>
        <w:tblpPr w:leftFromText="180" w:rightFromText="180" w:vertAnchor="text" w:tblpXSpec="center" w:tblpY="1"/>
        <w:tblOverlap w:val="never"/>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63"/>
        <w:gridCol w:w="897"/>
        <w:gridCol w:w="903"/>
        <w:gridCol w:w="1136"/>
        <w:gridCol w:w="1210"/>
        <w:gridCol w:w="1173"/>
        <w:gridCol w:w="812"/>
        <w:gridCol w:w="632"/>
        <w:gridCol w:w="722"/>
        <w:gridCol w:w="722"/>
        <w:gridCol w:w="993"/>
        <w:gridCol w:w="1083"/>
        <w:gridCol w:w="1093"/>
        <w:gridCol w:w="1125"/>
      </w:tblGrid>
      <w:tr w:rsidR="00561060" w:rsidRPr="004B50B8" w:rsidTr="004B50B8">
        <w:trPr>
          <w:trHeight w:val="20"/>
        </w:trPr>
        <w:tc>
          <w:tcPr>
            <w:tcW w:w="1658" w:type="dxa"/>
            <w:shd w:val="clear" w:color="000000" w:fill="C6D9F8"/>
            <w:tcMar>
              <w:top w:w="15" w:type="dxa"/>
              <w:left w:w="15" w:type="dxa"/>
              <w:bottom w:w="0" w:type="dxa"/>
              <w:right w:w="15" w:type="dxa"/>
            </w:tcMar>
            <w:vAlign w:val="center"/>
            <w:hideMark/>
          </w:tcPr>
          <w:bookmarkEnd w:id="204"/>
          <w:p w:rsidR="00561060" w:rsidRPr="00542EFA" w:rsidRDefault="00D13154" w:rsidP="008E01DF">
            <w:pPr>
              <w:jc w:val="both"/>
              <w:rPr>
                <w:rFonts w:eastAsia="Times New Roman" w:cs="Times New Roman"/>
                <w:b/>
                <w:bCs/>
                <w:sz w:val="16"/>
                <w:szCs w:val="16"/>
              </w:rPr>
            </w:pPr>
            <w:r>
              <w:rPr>
                <w:rFonts w:eastAsia="Times New Roman" w:cs="Times New Roman"/>
                <w:b/>
                <w:bCs/>
                <w:sz w:val="16"/>
                <w:szCs w:val="16"/>
              </w:rPr>
              <w:t>Figures in Million AFS</w:t>
            </w:r>
          </w:p>
        </w:tc>
        <w:tc>
          <w:tcPr>
            <w:tcW w:w="894" w:type="dxa"/>
            <w:vMerge w:val="restart"/>
            <w:shd w:val="clear" w:color="000000" w:fill="C6D9F8"/>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Amount Committed</w:t>
            </w:r>
          </w:p>
        </w:tc>
        <w:tc>
          <w:tcPr>
            <w:tcW w:w="2033" w:type="dxa"/>
            <w:gridSpan w:val="2"/>
            <w:shd w:val="clear" w:color="000000" w:fill="C6D9F8"/>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Start of Period</w:t>
            </w:r>
          </w:p>
        </w:tc>
        <w:tc>
          <w:tcPr>
            <w:tcW w:w="1207" w:type="dxa"/>
            <w:vMerge w:val="restart"/>
            <w:shd w:val="clear" w:color="000000" w:fill="C6D9F8"/>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Utilized Loan in this Period</w:t>
            </w:r>
          </w:p>
        </w:tc>
        <w:tc>
          <w:tcPr>
            <w:tcW w:w="1980" w:type="dxa"/>
            <w:gridSpan w:val="2"/>
            <w:shd w:val="clear" w:color="000000" w:fill="C6D9F8"/>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Reimbursement of Loan in Period</w:t>
            </w:r>
          </w:p>
        </w:tc>
        <w:tc>
          <w:tcPr>
            <w:tcW w:w="1350" w:type="dxa"/>
            <w:gridSpan w:val="2"/>
            <w:shd w:val="clear" w:color="000000" w:fill="C6D9F8"/>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Loan Exemption</w:t>
            </w:r>
          </w:p>
        </w:tc>
        <w:tc>
          <w:tcPr>
            <w:tcW w:w="1710" w:type="dxa"/>
            <w:gridSpan w:val="2"/>
            <w:shd w:val="clear" w:color="000000" w:fill="C6D9F8"/>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Admin Costs including the Original Loan</w:t>
            </w:r>
          </w:p>
        </w:tc>
        <w:tc>
          <w:tcPr>
            <w:tcW w:w="1080" w:type="dxa"/>
            <w:vMerge w:val="restart"/>
            <w:shd w:val="clear" w:color="000000" w:fill="C6D9F8"/>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Currency Changes</w:t>
            </w:r>
          </w:p>
        </w:tc>
        <w:tc>
          <w:tcPr>
            <w:tcW w:w="1090" w:type="dxa"/>
            <w:vMerge w:val="restart"/>
            <w:shd w:val="clear" w:color="000000" w:fill="C6D9F8"/>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Original Loan Balance in the end of the Period</w:t>
            </w:r>
          </w:p>
        </w:tc>
        <w:tc>
          <w:tcPr>
            <w:tcW w:w="1122" w:type="dxa"/>
            <w:vMerge w:val="restart"/>
            <w:shd w:val="clear" w:color="000000" w:fill="C6D9F8"/>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Remaining Loan</w:t>
            </w:r>
          </w:p>
        </w:tc>
      </w:tr>
      <w:tr w:rsidR="00561060" w:rsidRPr="004B50B8" w:rsidTr="004B50B8">
        <w:trPr>
          <w:trHeight w:val="20"/>
        </w:trPr>
        <w:tc>
          <w:tcPr>
            <w:tcW w:w="1658" w:type="dxa"/>
            <w:shd w:val="clear" w:color="000000" w:fill="C6D9F8"/>
            <w:tcMar>
              <w:top w:w="15" w:type="dxa"/>
              <w:left w:w="15" w:type="dxa"/>
              <w:bottom w:w="0" w:type="dxa"/>
              <w:right w:w="15" w:type="dxa"/>
            </w:tcMar>
            <w:vAlign w:val="center"/>
            <w:hideMark/>
          </w:tcPr>
          <w:p w:rsidR="00561060" w:rsidRPr="00542EFA" w:rsidRDefault="00561060" w:rsidP="008E01DF">
            <w:pPr>
              <w:jc w:val="both"/>
              <w:rPr>
                <w:rFonts w:eastAsia="Times New Roman" w:cs="Times New Roman"/>
                <w:b/>
                <w:bCs/>
                <w:sz w:val="16"/>
                <w:szCs w:val="16"/>
              </w:rPr>
            </w:pPr>
            <w:r w:rsidRPr="00542EFA">
              <w:rPr>
                <w:rFonts w:eastAsia="Times New Roman" w:cs="Times New Roman"/>
                <w:b/>
                <w:bCs/>
                <w:sz w:val="16"/>
                <w:szCs w:val="16"/>
              </w:rPr>
              <w:t>International Loan Granting Organizations</w:t>
            </w:r>
          </w:p>
        </w:tc>
        <w:tc>
          <w:tcPr>
            <w:tcW w:w="894" w:type="dxa"/>
            <w:vMerge/>
            <w:vAlign w:val="center"/>
            <w:hideMark/>
          </w:tcPr>
          <w:p w:rsidR="00561060" w:rsidRPr="00542EFA" w:rsidRDefault="00561060" w:rsidP="008E01DF">
            <w:pPr>
              <w:rPr>
                <w:rFonts w:eastAsia="Times New Roman" w:cs="Times New Roman"/>
                <w:b/>
                <w:bCs/>
                <w:sz w:val="16"/>
                <w:szCs w:val="16"/>
              </w:rPr>
            </w:pPr>
          </w:p>
        </w:tc>
        <w:tc>
          <w:tcPr>
            <w:tcW w:w="900" w:type="dxa"/>
            <w:shd w:val="clear" w:color="000000" w:fill="C6D9F8"/>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Remaining Loan</w:t>
            </w:r>
          </w:p>
        </w:tc>
        <w:tc>
          <w:tcPr>
            <w:tcW w:w="1133" w:type="dxa"/>
            <w:shd w:val="clear" w:color="000000" w:fill="C6D9F8"/>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Original Loan Balance</w:t>
            </w:r>
          </w:p>
        </w:tc>
        <w:tc>
          <w:tcPr>
            <w:tcW w:w="1207" w:type="dxa"/>
            <w:vMerge/>
            <w:vAlign w:val="center"/>
            <w:hideMark/>
          </w:tcPr>
          <w:p w:rsidR="00561060" w:rsidRPr="00542EFA" w:rsidRDefault="00561060" w:rsidP="008E01DF">
            <w:pPr>
              <w:rPr>
                <w:rFonts w:eastAsia="Times New Roman" w:cs="Times New Roman"/>
                <w:b/>
                <w:bCs/>
                <w:sz w:val="16"/>
                <w:szCs w:val="16"/>
              </w:rPr>
            </w:pPr>
          </w:p>
        </w:tc>
        <w:tc>
          <w:tcPr>
            <w:tcW w:w="1170" w:type="dxa"/>
            <w:shd w:val="clear" w:color="000000" w:fill="C6D9F8"/>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Reimbursement of the Original Loan</w:t>
            </w:r>
          </w:p>
        </w:tc>
        <w:tc>
          <w:tcPr>
            <w:tcW w:w="810" w:type="dxa"/>
            <w:shd w:val="clear" w:color="000000" w:fill="C6D9F8"/>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Admin Costs</w:t>
            </w:r>
          </w:p>
        </w:tc>
        <w:tc>
          <w:tcPr>
            <w:tcW w:w="630" w:type="dxa"/>
            <w:shd w:val="clear" w:color="000000" w:fill="C6D9F8"/>
            <w:noWrap/>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Original Loan</w:t>
            </w:r>
          </w:p>
        </w:tc>
        <w:tc>
          <w:tcPr>
            <w:tcW w:w="720" w:type="dxa"/>
            <w:shd w:val="clear" w:color="000000" w:fill="C6D9F8"/>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Admin Costs</w:t>
            </w:r>
          </w:p>
        </w:tc>
        <w:tc>
          <w:tcPr>
            <w:tcW w:w="720" w:type="dxa"/>
            <w:shd w:val="clear" w:color="000000" w:fill="C6D9F8"/>
            <w:noWrap/>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In-period</w:t>
            </w:r>
          </w:p>
        </w:tc>
        <w:tc>
          <w:tcPr>
            <w:tcW w:w="990" w:type="dxa"/>
            <w:shd w:val="clear" w:color="000000" w:fill="C6D9F8"/>
            <w:noWrap/>
            <w:tcMar>
              <w:top w:w="15" w:type="dxa"/>
              <w:left w:w="15" w:type="dxa"/>
              <w:bottom w:w="0" w:type="dxa"/>
              <w:right w:w="15" w:type="dxa"/>
            </w:tcMar>
            <w:vAlign w:val="center"/>
            <w:hideMark/>
          </w:tcPr>
          <w:p w:rsidR="00561060" w:rsidRPr="00542EFA" w:rsidRDefault="00561060" w:rsidP="008E01DF">
            <w:pPr>
              <w:jc w:val="center"/>
              <w:rPr>
                <w:rFonts w:eastAsia="Times New Roman" w:cs="Times New Roman"/>
                <w:b/>
                <w:bCs/>
                <w:sz w:val="16"/>
                <w:szCs w:val="16"/>
              </w:rPr>
            </w:pPr>
            <w:r w:rsidRPr="00542EFA">
              <w:rPr>
                <w:rFonts w:eastAsia="Times New Roman" w:cs="Times New Roman"/>
                <w:b/>
                <w:bCs/>
                <w:sz w:val="16"/>
                <w:szCs w:val="16"/>
              </w:rPr>
              <w:t>Total Admin Costs</w:t>
            </w:r>
          </w:p>
        </w:tc>
        <w:tc>
          <w:tcPr>
            <w:tcW w:w="1080" w:type="dxa"/>
            <w:vMerge/>
            <w:vAlign w:val="center"/>
            <w:hideMark/>
          </w:tcPr>
          <w:p w:rsidR="00561060" w:rsidRPr="00542EFA" w:rsidRDefault="00561060" w:rsidP="008E01DF">
            <w:pPr>
              <w:rPr>
                <w:rFonts w:eastAsia="Times New Roman" w:cs="Times New Roman"/>
                <w:b/>
                <w:bCs/>
                <w:sz w:val="16"/>
                <w:szCs w:val="16"/>
              </w:rPr>
            </w:pPr>
          </w:p>
        </w:tc>
        <w:tc>
          <w:tcPr>
            <w:tcW w:w="1090" w:type="dxa"/>
            <w:vMerge/>
            <w:vAlign w:val="center"/>
            <w:hideMark/>
          </w:tcPr>
          <w:p w:rsidR="00561060" w:rsidRPr="00542EFA" w:rsidRDefault="00561060" w:rsidP="008E01DF">
            <w:pPr>
              <w:rPr>
                <w:rFonts w:eastAsia="Times New Roman" w:cs="Times New Roman"/>
                <w:b/>
                <w:bCs/>
                <w:sz w:val="16"/>
                <w:szCs w:val="16"/>
              </w:rPr>
            </w:pPr>
          </w:p>
        </w:tc>
        <w:tc>
          <w:tcPr>
            <w:tcW w:w="1122" w:type="dxa"/>
            <w:vMerge/>
            <w:vAlign w:val="center"/>
            <w:hideMark/>
          </w:tcPr>
          <w:p w:rsidR="00561060" w:rsidRPr="00542EFA" w:rsidRDefault="00561060" w:rsidP="008E01DF">
            <w:pPr>
              <w:rPr>
                <w:rFonts w:eastAsia="Times New Roman" w:cs="Times New Roman"/>
                <w:b/>
                <w:bCs/>
                <w:sz w:val="16"/>
                <w:szCs w:val="16"/>
              </w:rPr>
            </w:pPr>
          </w:p>
        </w:tc>
      </w:tr>
      <w:tr w:rsidR="00561060" w:rsidRPr="004B50B8" w:rsidTr="004B50B8">
        <w:trPr>
          <w:trHeight w:val="20"/>
        </w:trPr>
        <w:tc>
          <w:tcPr>
            <w:tcW w:w="1658" w:type="dxa"/>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IDA</w:t>
            </w:r>
          </w:p>
        </w:tc>
        <w:tc>
          <w:tcPr>
            <w:tcW w:w="894"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32,144.90</w:t>
            </w:r>
          </w:p>
        </w:tc>
        <w:tc>
          <w:tcPr>
            <w:tcW w:w="90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25,557.60</w:t>
            </w:r>
          </w:p>
        </w:tc>
        <w:tc>
          <w:tcPr>
            <w:tcW w:w="1133"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25,557.60</w:t>
            </w:r>
          </w:p>
        </w:tc>
        <w:tc>
          <w:tcPr>
            <w:tcW w:w="1207"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17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0.5</w:t>
            </w:r>
          </w:p>
        </w:tc>
        <w:tc>
          <w:tcPr>
            <w:tcW w:w="81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23.6</w:t>
            </w:r>
          </w:p>
        </w:tc>
        <w:tc>
          <w:tcPr>
            <w:tcW w:w="63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66.2</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9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08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-1,436.60</w:t>
            </w:r>
          </w:p>
        </w:tc>
        <w:tc>
          <w:tcPr>
            <w:tcW w:w="10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26,927.60</w:t>
            </w:r>
          </w:p>
        </w:tc>
        <w:tc>
          <w:tcPr>
            <w:tcW w:w="1122"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26,927.60</w:t>
            </w:r>
          </w:p>
        </w:tc>
      </w:tr>
      <w:tr w:rsidR="00561060" w:rsidRPr="004B50B8" w:rsidTr="004B50B8">
        <w:trPr>
          <w:trHeight w:val="20"/>
        </w:trPr>
        <w:tc>
          <w:tcPr>
            <w:tcW w:w="1658" w:type="dxa"/>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ADB</w:t>
            </w:r>
          </w:p>
        </w:tc>
        <w:tc>
          <w:tcPr>
            <w:tcW w:w="894"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56,000.00</w:t>
            </w:r>
          </w:p>
        </w:tc>
        <w:tc>
          <w:tcPr>
            <w:tcW w:w="90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47,866.00</w:t>
            </w:r>
          </w:p>
        </w:tc>
        <w:tc>
          <w:tcPr>
            <w:tcW w:w="1133"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45,593.20</w:t>
            </w:r>
          </w:p>
        </w:tc>
        <w:tc>
          <w:tcPr>
            <w:tcW w:w="1207"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17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191.1</w:t>
            </w:r>
          </w:p>
        </w:tc>
        <w:tc>
          <w:tcPr>
            <w:tcW w:w="81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97.8</w:t>
            </w:r>
          </w:p>
        </w:tc>
        <w:tc>
          <w:tcPr>
            <w:tcW w:w="63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64.1</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9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2,272.70</w:t>
            </w:r>
          </w:p>
        </w:tc>
        <w:tc>
          <w:tcPr>
            <w:tcW w:w="108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-2,562.80</w:t>
            </w:r>
          </w:p>
        </w:tc>
        <w:tc>
          <w:tcPr>
            <w:tcW w:w="10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47,900.90</w:t>
            </w:r>
          </w:p>
        </w:tc>
        <w:tc>
          <w:tcPr>
            <w:tcW w:w="1122"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50,173.60</w:t>
            </w:r>
          </w:p>
        </w:tc>
      </w:tr>
      <w:tr w:rsidR="00561060" w:rsidRPr="004B50B8" w:rsidTr="004B50B8">
        <w:trPr>
          <w:trHeight w:val="20"/>
        </w:trPr>
        <w:tc>
          <w:tcPr>
            <w:tcW w:w="1658" w:type="dxa"/>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IDB</w:t>
            </w:r>
          </w:p>
        </w:tc>
        <w:tc>
          <w:tcPr>
            <w:tcW w:w="894"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10,379.60</w:t>
            </w:r>
          </w:p>
        </w:tc>
        <w:tc>
          <w:tcPr>
            <w:tcW w:w="90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3,381.60</w:t>
            </w:r>
          </w:p>
        </w:tc>
        <w:tc>
          <w:tcPr>
            <w:tcW w:w="1133"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3,381.60</w:t>
            </w:r>
          </w:p>
        </w:tc>
        <w:tc>
          <w:tcPr>
            <w:tcW w:w="1207"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17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93.7</w:t>
            </w:r>
          </w:p>
        </w:tc>
        <w:tc>
          <w:tcPr>
            <w:tcW w:w="81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18.5</w:t>
            </w:r>
          </w:p>
        </w:tc>
        <w:tc>
          <w:tcPr>
            <w:tcW w:w="63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9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08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-190.1</w:t>
            </w:r>
          </w:p>
        </w:tc>
        <w:tc>
          <w:tcPr>
            <w:tcW w:w="10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3,478.00</w:t>
            </w:r>
          </w:p>
        </w:tc>
        <w:tc>
          <w:tcPr>
            <w:tcW w:w="1122"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3,478.00</w:t>
            </w:r>
          </w:p>
        </w:tc>
      </w:tr>
      <w:tr w:rsidR="00561060" w:rsidRPr="004B50B8" w:rsidTr="004B50B8">
        <w:trPr>
          <w:trHeight w:val="20"/>
        </w:trPr>
        <w:tc>
          <w:tcPr>
            <w:tcW w:w="1658" w:type="dxa"/>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Saudi Development Fund</w:t>
            </w:r>
          </w:p>
        </w:tc>
        <w:tc>
          <w:tcPr>
            <w:tcW w:w="894"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7,287.50</w:t>
            </w:r>
          </w:p>
        </w:tc>
        <w:tc>
          <w:tcPr>
            <w:tcW w:w="90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4,438.90</w:t>
            </w:r>
          </w:p>
        </w:tc>
        <w:tc>
          <w:tcPr>
            <w:tcW w:w="1133"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4,438.90</w:t>
            </w:r>
          </w:p>
        </w:tc>
        <w:tc>
          <w:tcPr>
            <w:tcW w:w="1207"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62.8</w:t>
            </w:r>
          </w:p>
        </w:tc>
        <w:tc>
          <w:tcPr>
            <w:tcW w:w="117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81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63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9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128.9</w:t>
            </w:r>
          </w:p>
        </w:tc>
        <w:tc>
          <w:tcPr>
            <w:tcW w:w="108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-249.5</w:t>
            </w:r>
          </w:p>
        </w:tc>
        <w:tc>
          <w:tcPr>
            <w:tcW w:w="10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4,751.20</w:t>
            </w:r>
          </w:p>
        </w:tc>
        <w:tc>
          <w:tcPr>
            <w:tcW w:w="1122"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4,751.20</w:t>
            </w:r>
          </w:p>
        </w:tc>
      </w:tr>
      <w:tr w:rsidR="00561060" w:rsidRPr="004B50B8" w:rsidTr="004B50B8">
        <w:trPr>
          <w:trHeight w:val="20"/>
        </w:trPr>
        <w:tc>
          <w:tcPr>
            <w:tcW w:w="1658" w:type="dxa"/>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Russian Federation</w:t>
            </w:r>
          </w:p>
        </w:tc>
        <w:tc>
          <w:tcPr>
            <w:tcW w:w="894"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68,046.40</w:t>
            </w:r>
          </w:p>
        </w:tc>
        <w:tc>
          <w:tcPr>
            <w:tcW w:w="90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64,286.00</w:t>
            </w:r>
          </w:p>
        </w:tc>
        <w:tc>
          <w:tcPr>
            <w:tcW w:w="1133"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64,286.00</w:t>
            </w:r>
          </w:p>
        </w:tc>
        <w:tc>
          <w:tcPr>
            <w:tcW w:w="1207"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17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81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63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9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08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-3,760.40</w:t>
            </w:r>
          </w:p>
        </w:tc>
        <w:tc>
          <w:tcPr>
            <w:tcW w:w="10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68,046.40</w:t>
            </w:r>
          </w:p>
        </w:tc>
        <w:tc>
          <w:tcPr>
            <w:tcW w:w="1122"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68,046.40</w:t>
            </w:r>
          </w:p>
        </w:tc>
      </w:tr>
      <w:tr w:rsidR="00561060" w:rsidRPr="004B50B8" w:rsidTr="004B50B8">
        <w:trPr>
          <w:trHeight w:val="20"/>
        </w:trPr>
        <w:tc>
          <w:tcPr>
            <w:tcW w:w="1658" w:type="dxa"/>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OPEC</w:t>
            </w:r>
          </w:p>
        </w:tc>
        <w:tc>
          <w:tcPr>
            <w:tcW w:w="894"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135.1</w:t>
            </w:r>
          </w:p>
        </w:tc>
        <w:tc>
          <w:tcPr>
            <w:tcW w:w="90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120.6</w:t>
            </w:r>
          </w:p>
        </w:tc>
        <w:tc>
          <w:tcPr>
            <w:tcW w:w="1133"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120.6</w:t>
            </w:r>
          </w:p>
        </w:tc>
        <w:tc>
          <w:tcPr>
            <w:tcW w:w="1207"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17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2.4</w:t>
            </w:r>
          </w:p>
        </w:tc>
        <w:tc>
          <w:tcPr>
            <w:tcW w:w="81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63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9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08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-9.41</w:t>
            </w:r>
          </w:p>
        </w:tc>
        <w:tc>
          <w:tcPr>
            <w:tcW w:w="10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127.6</w:t>
            </w:r>
          </w:p>
        </w:tc>
        <w:tc>
          <w:tcPr>
            <w:tcW w:w="1122"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127.6</w:t>
            </w:r>
          </w:p>
        </w:tc>
      </w:tr>
      <w:tr w:rsidR="00561060" w:rsidRPr="004B50B8" w:rsidTr="004B50B8">
        <w:trPr>
          <w:trHeight w:val="20"/>
        </w:trPr>
        <w:tc>
          <w:tcPr>
            <w:tcW w:w="1658" w:type="dxa"/>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Kuwait Fund</w:t>
            </w:r>
          </w:p>
        </w:tc>
        <w:tc>
          <w:tcPr>
            <w:tcW w:w="894"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1,726.20</w:t>
            </w:r>
          </w:p>
        </w:tc>
        <w:tc>
          <w:tcPr>
            <w:tcW w:w="90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1,629.50</w:t>
            </w:r>
          </w:p>
        </w:tc>
        <w:tc>
          <w:tcPr>
            <w:tcW w:w="1133"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1,629.50</w:t>
            </w:r>
          </w:p>
        </w:tc>
        <w:tc>
          <w:tcPr>
            <w:tcW w:w="1207"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17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81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63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9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08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-96.7</w:t>
            </w:r>
          </w:p>
        </w:tc>
        <w:tc>
          <w:tcPr>
            <w:tcW w:w="10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1,726.20</w:t>
            </w:r>
          </w:p>
        </w:tc>
        <w:tc>
          <w:tcPr>
            <w:tcW w:w="1122"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1,726.20</w:t>
            </w:r>
          </w:p>
        </w:tc>
      </w:tr>
      <w:tr w:rsidR="00561060" w:rsidRPr="004B50B8" w:rsidTr="004B50B8">
        <w:trPr>
          <w:trHeight w:val="20"/>
        </w:trPr>
        <w:tc>
          <w:tcPr>
            <w:tcW w:w="1658" w:type="dxa"/>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IMF</w:t>
            </w:r>
          </w:p>
        </w:tc>
        <w:tc>
          <w:tcPr>
            <w:tcW w:w="894"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17,083.70</w:t>
            </w:r>
          </w:p>
        </w:tc>
        <w:tc>
          <w:tcPr>
            <w:tcW w:w="90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4,967.70</w:t>
            </w:r>
          </w:p>
        </w:tc>
        <w:tc>
          <w:tcPr>
            <w:tcW w:w="1133"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4,967.70</w:t>
            </w:r>
          </w:p>
        </w:tc>
        <w:tc>
          <w:tcPr>
            <w:tcW w:w="1207"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17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81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63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9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08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-279.2</w:t>
            </w:r>
          </w:p>
        </w:tc>
        <w:tc>
          <w:tcPr>
            <w:tcW w:w="10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5,246.90</w:t>
            </w:r>
          </w:p>
        </w:tc>
        <w:tc>
          <w:tcPr>
            <w:tcW w:w="1122"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5,246.90</w:t>
            </w:r>
          </w:p>
        </w:tc>
      </w:tr>
      <w:tr w:rsidR="00561060" w:rsidRPr="004B50B8" w:rsidTr="004B50B8">
        <w:trPr>
          <w:trHeight w:val="20"/>
        </w:trPr>
        <w:tc>
          <w:tcPr>
            <w:tcW w:w="1658" w:type="dxa"/>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Bulgaria</w:t>
            </w:r>
          </w:p>
        </w:tc>
        <w:tc>
          <w:tcPr>
            <w:tcW w:w="894"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3,840.50</w:t>
            </w:r>
          </w:p>
        </w:tc>
        <w:tc>
          <w:tcPr>
            <w:tcW w:w="90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480.3</w:t>
            </w:r>
          </w:p>
        </w:tc>
        <w:tc>
          <w:tcPr>
            <w:tcW w:w="1133"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480.3</w:t>
            </w:r>
          </w:p>
        </w:tc>
        <w:tc>
          <w:tcPr>
            <w:tcW w:w="1207"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17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81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63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9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08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-28.1</w:t>
            </w:r>
          </w:p>
        </w:tc>
        <w:tc>
          <w:tcPr>
            <w:tcW w:w="10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508.4</w:t>
            </w:r>
          </w:p>
        </w:tc>
        <w:tc>
          <w:tcPr>
            <w:tcW w:w="1122"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508.4</w:t>
            </w:r>
          </w:p>
        </w:tc>
      </w:tr>
      <w:tr w:rsidR="00561060" w:rsidRPr="004B50B8" w:rsidTr="004B50B8">
        <w:trPr>
          <w:trHeight w:val="20"/>
        </w:trPr>
        <w:tc>
          <w:tcPr>
            <w:tcW w:w="1658" w:type="dxa"/>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Italy</w:t>
            </w:r>
          </w:p>
        </w:tc>
        <w:tc>
          <w:tcPr>
            <w:tcW w:w="894"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10,681.30</w:t>
            </w:r>
          </w:p>
        </w:tc>
        <w:tc>
          <w:tcPr>
            <w:tcW w:w="90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108.1</w:t>
            </w:r>
          </w:p>
        </w:tc>
        <w:tc>
          <w:tcPr>
            <w:tcW w:w="1133"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108.1</w:t>
            </w:r>
          </w:p>
        </w:tc>
        <w:tc>
          <w:tcPr>
            <w:tcW w:w="1207"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17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81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63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9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08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-6.1</w:t>
            </w:r>
          </w:p>
        </w:tc>
        <w:tc>
          <w:tcPr>
            <w:tcW w:w="10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114.2</w:t>
            </w:r>
          </w:p>
        </w:tc>
        <w:tc>
          <w:tcPr>
            <w:tcW w:w="1122"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114.2</w:t>
            </w:r>
          </w:p>
        </w:tc>
      </w:tr>
      <w:tr w:rsidR="00561060" w:rsidRPr="004B50B8" w:rsidTr="004B50B8">
        <w:trPr>
          <w:trHeight w:val="20"/>
        </w:trPr>
        <w:tc>
          <w:tcPr>
            <w:tcW w:w="1658" w:type="dxa"/>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Total Liquid Loan</w:t>
            </w:r>
          </w:p>
        </w:tc>
        <w:tc>
          <w:tcPr>
            <w:tcW w:w="894"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207,325.30</w:t>
            </w:r>
          </w:p>
        </w:tc>
        <w:tc>
          <w:tcPr>
            <w:tcW w:w="90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152,836.20</w:t>
            </w:r>
          </w:p>
        </w:tc>
        <w:tc>
          <w:tcPr>
            <w:tcW w:w="1133"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150,563.50</w:t>
            </w:r>
          </w:p>
        </w:tc>
        <w:tc>
          <w:tcPr>
            <w:tcW w:w="1207"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62.8</w:t>
            </w:r>
          </w:p>
        </w:tc>
        <w:tc>
          <w:tcPr>
            <w:tcW w:w="117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287.6</w:t>
            </w:r>
          </w:p>
        </w:tc>
        <w:tc>
          <w:tcPr>
            <w:tcW w:w="81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140</w:t>
            </w:r>
          </w:p>
        </w:tc>
        <w:tc>
          <w:tcPr>
            <w:tcW w:w="63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130.3</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0</w:t>
            </w:r>
          </w:p>
        </w:tc>
        <w:tc>
          <w:tcPr>
            <w:tcW w:w="9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2,401.60</w:t>
            </w:r>
          </w:p>
        </w:tc>
        <w:tc>
          <w:tcPr>
            <w:tcW w:w="108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-8,619.10</w:t>
            </w:r>
          </w:p>
        </w:tc>
        <w:tc>
          <w:tcPr>
            <w:tcW w:w="10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158,827.50</w:t>
            </w:r>
          </w:p>
        </w:tc>
        <w:tc>
          <w:tcPr>
            <w:tcW w:w="1122"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161,100.20</w:t>
            </w:r>
          </w:p>
        </w:tc>
      </w:tr>
      <w:tr w:rsidR="00561060" w:rsidRPr="004B50B8" w:rsidTr="004B50B8">
        <w:trPr>
          <w:trHeight w:val="20"/>
        </w:trPr>
        <w:tc>
          <w:tcPr>
            <w:tcW w:w="1658" w:type="dxa"/>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Non-liquid Loan</w:t>
            </w:r>
          </w:p>
        </w:tc>
        <w:tc>
          <w:tcPr>
            <w:tcW w:w="894"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p>
        </w:tc>
        <w:tc>
          <w:tcPr>
            <w:tcW w:w="90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p>
        </w:tc>
        <w:tc>
          <w:tcPr>
            <w:tcW w:w="1133"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p>
        </w:tc>
        <w:tc>
          <w:tcPr>
            <w:tcW w:w="1207"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p>
        </w:tc>
        <w:tc>
          <w:tcPr>
            <w:tcW w:w="1170" w:type="dxa"/>
            <w:shd w:val="clear" w:color="auto" w:fill="auto"/>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p>
        </w:tc>
        <w:tc>
          <w:tcPr>
            <w:tcW w:w="810" w:type="dxa"/>
            <w:shd w:val="clear" w:color="auto" w:fill="auto"/>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p>
        </w:tc>
        <w:tc>
          <w:tcPr>
            <w:tcW w:w="63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p>
        </w:tc>
        <w:tc>
          <w:tcPr>
            <w:tcW w:w="720" w:type="dxa"/>
            <w:shd w:val="clear" w:color="auto" w:fill="auto"/>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p>
        </w:tc>
        <w:tc>
          <w:tcPr>
            <w:tcW w:w="9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p>
        </w:tc>
        <w:tc>
          <w:tcPr>
            <w:tcW w:w="108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p>
        </w:tc>
        <w:tc>
          <w:tcPr>
            <w:tcW w:w="10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p>
        </w:tc>
        <w:tc>
          <w:tcPr>
            <w:tcW w:w="1122"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p>
        </w:tc>
      </w:tr>
      <w:tr w:rsidR="00561060" w:rsidRPr="004B50B8" w:rsidTr="004B50B8">
        <w:trPr>
          <w:trHeight w:val="20"/>
        </w:trPr>
        <w:tc>
          <w:tcPr>
            <w:tcW w:w="1658" w:type="dxa"/>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Iran</w:t>
            </w:r>
          </w:p>
        </w:tc>
        <w:tc>
          <w:tcPr>
            <w:tcW w:w="894"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824.2</w:t>
            </w:r>
          </w:p>
        </w:tc>
        <w:tc>
          <w:tcPr>
            <w:tcW w:w="90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727</w:t>
            </w:r>
          </w:p>
        </w:tc>
        <w:tc>
          <w:tcPr>
            <w:tcW w:w="1133"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620.9</w:t>
            </w:r>
          </w:p>
        </w:tc>
        <w:tc>
          <w:tcPr>
            <w:tcW w:w="1207"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17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81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63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9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76.3</w:t>
            </w:r>
          </w:p>
        </w:tc>
        <w:tc>
          <w:tcPr>
            <w:tcW w:w="108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-42.5</w:t>
            </w:r>
          </w:p>
        </w:tc>
        <w:tc>
          <w:tcPr>
            <w:tcW w:w="10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620.9</w:t>
            </w:r>
          </w:p>
        </w:tc>
        <w:tc>
          <w:tcPr>
            <w:tcW w:w="1122"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769.6</w:t>
            </w:r>
          </w:p>
        </w:tc>
      </w:tr>
      <w:tr w:rsidR="00561060" w:rsidRPr="004B50B8" w:rsidTr="004B50B8">
        <w:trPr>
          <w:trHeight w:val="20"/>
        </w:trPr>
        <w:tc>
          <w:tcPr>
            <w:tcW w:w="1658" w:type="dxa"/>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Total Non-liquid Loans</w:t>
            </w:r>
          </w:p>
        </w:tc>
        <w:tc>
          <w:tcPr>
            <w:tcW w:w="894"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824.2</w:t>
            </w:r>
          </w:p>
        </w:tc>
        <w:tc>
          <w:tcPr>
            <w:tcW w:w="90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727</w:t>
            </w:r>
          </w:p>
        </w:tc>
        <w:tc>
          <w:tcPr>
            <w:tcW w:w="1133"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620.9</w:t>
            </w:r>
          </w:p>
        </w:tc>
        <w:tc>
          <w:tcPr>
            <w:tcW w:w="1207"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17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81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63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9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76.3</w:t>
            </w:r>
          </w:p>
        </w:tc>
        <w:tc>
          <w:tcPr>
            <w:tcW w:w="108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-42.5</w:t>
            </w:r>
          </w:p>
        </w:tc>
        <w:tc>
          <w:tcPr>
            <w:tcW w:w="1090"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620.9</w:t>
            </w:r>
          </w:p>
        </w:tc>
        <w:tc>
          <w:tcPr>
            <w:tcW w:w="1122" w:type="dxa"/>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769.6</w:t>
            </w:r>
          </w:p>
        </w:tc>
      </w:tr>
      <w:tr w:rsidR="00561060" w:rsidRPr="004B50B8" w:rsidTr="004B50B8">
        <w:trPr>
          <w:trHeight w:val="353"/>
        </w:trPr>
        <w:tc>
          <w:tcPr>
            <w:tcW w:w="1658" w:type="dxa"/>
            <w:vMerge w:val="restart"/>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lang w:bidi="ps-AF"/>
              </w:rPr>
            </w:pPr>
            <w:r w:rsidRPr="004B50B8">
              <w:rPr>
                <w:rFonts w:eastAsia="Times New Roman" w:cs="Times New Roman"/>
                <w:sz w:val="18"/>
                <w:szCs w:val="18"/>
                <w:lang w:bidi="ps-AF"/>
              </w:rPr>
              <w:t>Non-negotiable domestic loans papers</w:t>
            </w:r>
          </w:p>
        </w:tc>
        <w:tc>
          <w:tcPr>
            <w:tcW w:w="894"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sz w:val="18"/>
                <w:szCs w:val="18"/>
              </w:rPr>
            </w:pPr>
            <w:r w:rsidRPr="004B50B8">
              <w:rPr>
                <w:rFonts w:eastAsia="Times New Roman" w:cs="Times New Roman"/>
                <w:b/>
                <w:bCs/>
                <w:sz w:val="18"/>
                <w:szCs w:val="18"/>
              </w:rPr>
              <w:t>41,352.50</w:t>
            </w:r>
          </w:p>
        </w:tc>
        <w:tc>
          <w:tcPr>
            <w:tcW w:w="90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sz w:val="18"/>
                <w:szCs w:val="18"/>
              </w:rPr>
            </w:pPr>
            <w:r w:rsidRPr="004B50B8">
              <w:rPr>
                <w:rFonts w:eastAsia="Times New Roman" w:cs="Times New Roman"/>
                <w:b/>
                <w:bCs/>
                <w:sz w:val="18"/>
                <w:szCs w:val="18"/>
              </w:rPr>
              <w:t>15,070.40</w:t>
            </w:r>
          </w:p>
        </w:tc>
        <w:tc>
          <w:tcPr>
            <w:tcW w:w="1133"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sz w:val="18"/>
                <w:szCs w:val="18"/>
              </w:rPr>
            </w:pPr>
            <w:r w:rsidRPr="004B50B8">
              <w:rPr>
                <w:rFonts w:eastAsia="Times New Roman" w:cs="Times New Roman"/>
                <w:b/>
                <w:bCs/>
                <w:sz w:val="18"/>
                <w:szCs w:val="18"/>
              </w:rPr>
              <w:t>15,070.40</w:t>
            </w:r>
          </w:p>
        </w:tc>
        <w:tc>
          <w:tcPr>
            <w:tcW w:w="1207"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17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3994</w:t>
            </w:r>
          </w:p>
        </w:tc>
        <w:tc>
          <w:tcPr>
            <w:tcW w:w="81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63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72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99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08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sz w:val="18"/>
                <w:szCs w:val="18"/>
              </w:rPr>
            </w:pPr>
            <w:r w:rsidRPr="004B50B8">
              <w:rPr>
                <w:rFonts w:eastAsia="Times New Roman" w:cs="Times New Roman"/>
                <w:sz w:val="18"/>
                <w:szCs w:val="18"/>
              </w:rPr>
              <w:t>0</w:t>
            </w:r>
          </w:p>
        </w:tc>
        <w:tc>
          <w:tcPr>
            <w:tcW w:w="109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sz w:val="18"/>
                <w:szCs w:val="18"/>
              </w:rPr>
            </w:pPr>
            <w:r w:rsidRPr="004B50B8">
              <w:rPr>
                <w:rFonts w:eastAsia="Times New Roman" w:cs="Times New Roman"/>
                <w:b/>
                <w:bCs/>
                <w:sz w:val="18"/>
                <w:szCs w:val="18"/>
              </w:rPr>
              <w:t>11,076.40</w:t>
            </w:r>
          </w:p>
        </w:tc>
        <w:tc>
          <w:tcPr>
            <w:tcW w:w="1122"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sz w:val="18"/>
                <w:szCs w:val="18"/>
              </w:rPr>
            </w:pPr>
            <w:r w:rsidRPr="004B50B8">
              <w:rPr>
                <w:rFonts w:eastAsia="Times New Roman" w:cs="Times New Roman"/>
                <w:b/>
                <w:bCs/>
                <w:sz w:val="18"/>
                <w:szCs w:val="18"/>
              </w:rPr>
              <w:t>11,076.40</w:t>
            </w:r>
          </w:p>
        </w:tc>
      </w:tr>
      <w:tr w:rsidR="00561060" w:rsidRPr="004B50B8" w:rsidTr="004B50B8">
        <w:trPr>
          <w:trHeight w:val="450"/>
        </w:trPr>
        <w:tc>
          <w:tcPr>
            <w:tcW w:w="1658" w:type="dxa"/>
            <w:vMerge/>
            <w:vAlign w:val="center"/>
            <w:hideMark/>
          </w:tcPr>
          <w:p w:rsidR="00561060" w:rsidRPr="004B50B8" w:rsidRDefault="00561060" w:rsidP="0035712C">
            <w:pPr>
              <w:rPr>
                <w:rFonts w:eastAsia="Times New Roman" w:cs="Times New Roman"/>
                <w:sz w:val="18"/>
                <w:szCs w:val="18"/>
              </w:rPr>
            </w:pPr>
          </w:p>
        </w:tc>
        <w:tc>
          <w:tcPr>
            <w:tcW w:w="894" w:type="dxa"/>
            <w:vMerge/>
            <w:vAlign w:val="center"/>
            <w:hideMark/>
          </w:tcPr>
          <w:p w:rsidR="00561060" w:rsidRPr="004B50B8" w:rsidRDefault="00561060" w:rsidP="008E01DF">
            <w:pPr>
              <w:jc w:val="center"/>
              <w:rPr>
                <w:rFonts w:eastAsia="Times New Roman" w:cs="Times New Roman"/>
                <w:b/>
                <w:bCs/>
                <w:sz w:val="18"/>
                <w:szCs w:val="18"/>
              </w:rPr>
            </w:pPr>
          </w:p>
        </w:tc>
        <w:tc>
          <w:tcPr>
            <w:tcW w:w="900" w:type="dxa"/>
            <w:vMerge/>
            <w:vAlign w:val="center"/>
            <w:hideMark/>
          </w:tcPr>
          <w:p w:rsidR="00561060" w:rsidRPr="004B50B8" w:rsidRDefault="00561060" w:rsidP="008E01DF">
            <w:pPr>
              <w:jc w:val="center"/>
              <w:rPr>
                <w:rFonts w:eastAsia="Times New Roman" w:cs="Times New Roman"/>
                <w:b/>
                <w:bCs/>
                <w:sz w:val="18"/>
                <w:szCs w:val="18"/>
              </w:rPr>
            </w:pPr>
          </w:p>
        </w:tc>
        <w:tc>
          <w:tcPr>
            <w:tcW w:w="1133" w:type="dxa"/>
            <w:vMerge/>
            <w:vAlign w:val="center"/>
            <w:hideMark/>
          </w:tcPr>
          <w:p w:rsidR="00561060" w:rsidRPr="004B50B8" w:rsidRDefault="00561060" w:rsidP="008E01DF">
            <w:pPr>
              <w:jc w:val="center"/>
              <w:rPr>
                <w:rFonts w:eastAsia="Times New Roman" w:cs="Times New Roman"/>
                <w:b/>
                <w:bCs/>
                <w:sz w:val="18"/>
                <w:szCs w:val="18"/>
              </w:rPr>
            </w:pPr>
          </w:p>
        </w:tc>
        <w:tc>
          <w:tcPr>
            <w:tcW w:w="1207" w:type="dxa"/>
            <w:vMerge/>
            <w:vAlign w:val="center"/>
            <w:hideMark/>
          </w:tcPr>
          <w:p w:rsidR="00561060" w:rsidRPr="004B50B8" w:rsidRDefault="00561060" w:rsidP="008E01DF">
            <w:pPr>
              <w:jc w:val="center"/>
              <w:rPr>
                <w:rFonts w:eastAsia="Times New Roman" w:cs="Times New Roman"/>
                <w:sz w:val="18"/>
                <w:szCs w:val="18"/>
              </w:rPr>
            </w:pPr>
          </w:p>
        </w:tc>
        <w:tc>
          <w:tcPr>
            <w:tcW w:w="1170" w:type="dxa"/>
            <w:vMerge/>
            <w:vAlign w:val="center"/>
            <w:hideMark/>
          </w:tcPr>
          <w:p w:rsidR="00561060" w:rsidRPr="004B50B8" w:rsidRDefault="00561060" w:rsidP="008E01DF">
            <w:pPr>
              <w:jc w:val="center"/>
              <w:rPr>
                <w:rFonts w:eastAsia="Times New Roman" w:cs="Times New Roman"/>
                <w:sz w:val="18"/>
                <w:szCs w:val="18"/>
              </w:rPr>
            </w:pPr>
          </w:p>
        </w:tc>
        <w:tc>
          <w:tcPr>
            <w:tcW w:w="810" w:type="dxa"/>
            <w:vMerge/>
            <w:vAlign w:val="center"/>
            <w:hideMark/>
          </w:tcPr>
          <w:p w:rsidR="00561060" w:rsidRPr="004B50B8" w:rsidRDefault="00561060" w:rsidP="008E01DF">
            <w:pPr>
              <w:jc w:val="center"/>
              <w:rPr>
                <w:rFonts w:eastAsia="Times New Roman" w:cs="Times New Roman"/>
                <w:sz w:val="18"/>
                <w:szCs w:val="18"/>
              </w:rPr>
            </w:pPr>
          </w:p>
        </w:tc>
        <w:tc>
          <w:tcPr>
            <w:tcW w:w="630" w:type="dxa"/>
            <w:vMerge/>
            <w:vAlign w:val="center"/>
            <w:hideMark/>
          </w:tcPr>
          <w:p w:rsidR="00561060" w:rsidRPr="004B50B8" w:rsidRDefault="00561060" w:rsidP="008E01DF">
            <w:pPr>
              <w:jc w:val="center"/>
              <w:rPr>
                <w:rFonts w:eastAsia="Times New Roman" w:cs="Times New Roman"/>
                <w:sz w:val="18"/>
                <w:szCs w:val="18"/>
              </w:rPr>
            </w:pPr>
          </w:p>
        </w:tc>
        <w:tc>
          <w:tcPr>
            <w:tcW w:w="720" w:type="dxa"/>
            <w:vMerge/>
            <w:vAlign w:val="center"/>
            <w:hideMark/>
          </w:tcPr>
          <w:p w:rsidR="00561060" w:rsidRPr="004B50B8" w:rsidRDefault="00561060" w:rsidP="008E01DF">
            <w:pPr>
              <w:jc w:val="center"/>
              <w:rPr>
                <w:rFonts w:eastAsia="Times New Roman" w:cs="Times New Roman"/>
                <w:sz w:val="18"/>
                <w:szCs w:val="18"/>
              </w:rPr>
            </w:pPr>
          </w:p>
        </w:tc>
        <w:tc>
          <w:tcPr>
            <w:tcW w:w="720" w:type="dxa"/>
            <w:vMerge/>
            <w:vAlign w:val="center"/>
            <w:hideMark/>
          </w:tcPr>
          <w:p w:rsidR="00561060" w:rsidRPr="004B50B8" w:rsidRDefault="00561060" w:rsidP="008E01DF">
            <w:pPr>
              <w:jc w:val="center"/>
              <w:rPr>
                <w:rFonts w:eastAsia="Times New Roman" w:cs="Times New Roman"/>
                <w:sz w:val="18"/>
                <w:szCs w:val="18"/>
              </w:rPr>
            </w:pPr>
          </w:p>
        </w:tc>
        <w:tc>
          <w:tcPr>
            <w:tcW w:w="990" w:type="dxa"/>
            <w:vMerge/>
            <w:vAlign w:val="center"/>
            <w:hideMark/>
          </w:tcPr>
          <w:p w:rsidR="00561060" w:rsidRPr="004B50B8" w:rsidRDefault="00561060" w:rsidP="008E01DF">
            <w:pPr>
              <w:jc w:val="center"/>
              <w:rPr>
                <w:rFonts w:eastAsia="Times New Roman" w:cs="Times New Roman"/>
                <w:sz w:val="18"/>
                <w:szCs w:val="18"/>
              </w:rPr>
            </w:pPr>
          </w:p>
        </w:tc>
        <w:tc>
          <w:tcPr>
            <w:tcW w:w="1080" w:type="dxa"/>
            <w:vMerge/>
            <w:vAlign w:val="center"/>
            <w:hideMark/>
          </w:tcPr>
          <w:p w:rsidR="00561060" w:rsidRPr="004B50B8" w:rsidRDefault="00561060" w:rsidP="008E01DF">
            <w:pPr>
              <w:jc w:val="center"/>
              <w:rPr>
                <w:rFonts w:eastAsia="Times New Roman" w:cs="Times New Roman"/>
                <w:sz w:val="18"/>
                <w:szCs w:val="18"/>
              </w:rPr>
            </w:pPr>
          </w:p>
        </w:tc>
        <w:tc>
          <w:tcPr>
            <w:tcW w:w="1090" w:type="dxa"/>
            <w:vMerge/>
            <w:vAlign w:val="center"/>
            <w:hideMark/>
          </w:tcPr>
          <w:p w:rsidR="00561060" w:rsidRPr="004B50B8" w:rsidRDefault="00561060" w:rsidP="008E01DF">
            <w:pPr>
              <w:jc w:val="center"/>
              <w:rPr>
                <w:rFonts w:eastAsia="Times New Roman" w:cs="Times New Roman"/>
                <w:b/>
                <w:bCs/>
                <w:sz w:val="18"/>
                <w:szCs w:val="18"/>
              </w:rPr>
            </w:pPr>
          </w:p>
        </w:tc>
        <w:tc>
          <w:tcPr>
            <w:tcW w:w="1122" w:type="dxa"/>
            <w:vMerge/>
            <w:vAlign w:val="center"/>
            <w:hideMark/>
          </w:tcPr>
          <w:p w:rsidR="00561060" w:rsidRPr="004B50B8" w:rsidRDefault="00561060" w:rsidP="008E01DF">
            <w:pPr>
              <w:jc w:val="center"/>
              <w:rPr>
                <w:rFonts w:eastAsia="Times New Roman" w:cs="Times New Roman"/>
                <w:b/>
                <w:bCs/>
                <w:sz w:val="18"/>
                <w:szCs w:val="18"/>
              </w:rPr>
            </w:pPr>
          </w:p>
        </w:tc>
      </w:tr>
      <w:tr w:rsidR="00561060" w:rsidRPr="004B50B8" w:rsidTr="004B50B8">
        <w:trPr>
          <w:trHeight w:val="353"/>
        </w:trPr>
        <w:tc>
          <w:tcPr>
            <w:tcW w:w="1658" w:type="dxa"/>
            <w:vMerge w:val="restart"/>
            <w:shd w:val="clear" w:color="auto" w:fill="auto"/>
            <w:tcMar>
              <w:top w:w="15" w:type="dxa"/>
              <w:left w:w="15" w:type="dxa"/>
              <w:bottom w:w="0" w:type="dxa"/>
              <w:right w:w="15" w:type="dxa"/>
            </w:tcMar>
            <w:vAlign w:val="center"/>
            <w:hideMark/>
          </w:tcPr>
          <w:p w:rsidR="00561060" w:rsidRPr="004B50B8" w:rsidRDefault="00561060" w:rsidP="0035712C">
            <w:pPr>
              <w:rPr>
                <w:rFonts w:eastAsia="Times New Roman" w:cs="Times New Roman"/>
                <w:sz w:val="18"/>
                <w:szCs w:val="18"/>
              </w:rPr>
            </w:pPr>
            <w:r w:rsidRPr="004B50B8">
              <w:rPr>
                <w:rFonts w:eastAsia="Times New Roman" w:cs="Times New Roman"/>
                <w:sz w:val="18"/>
                <w:szCs w:val="18"/>
              </w:rPr>
              <w:t>Total Loans (Liquid, Non-liquid and Domestic)</w:t>
            </w:r>
          </w:p>
        </w:tc>
        <w:tc>
          <w:tcPr>
            <w:tcW w:w="894"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249,502.00</w:t>
            </w:r>
          </w:p>
        </w:tc>
        <w:tc>
          <w:tcPr>
            <w:tcW w:w="90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168,633.60</w:t>
            </w:r>
          </w:p>
        </w:tc>
        <w:tc>
          <w:tcPr>
            <w:tcW w:w="1133"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166,254.80</w:t>
            </w:r>
          </w:p>
        </w:tc>
        <w:tc>
          <w:tcPr>
            <w:tcW w:w="1207"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62.8</w:t>
            </w:r>
          </w:p>
        </w:tc>
        <w:tc>
          <w:tcPr>
            <w:tcW w:w="117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4,281.60</w:t>
            </w:r>
          </w:p>
        </w:tc>
        <w:tc>
          <w:tcPr>
            <w:tcW w:w="81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140</w:t>
            </w:r>
          </w:p>
        </w:tc>
        <w:tc>
          <w:tcPr>
            <w:tcW w:w="63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130.3</w:t>
            </w:r>
          </w:p>
        </w:tc>
        <w:tc>
          <w:tcPr>
            <w:tcW w:w="72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0</w:t>
            </w:r>
          </w:p>
        </w:tc>
        <w:tc>
          <w:tcPr>
            <w:tcW w:w="72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0</w:t>
            </w:r>
          </w:p>
        </w:tc>
        <w:tc>
          <w:tcPr>
            <w:tcW w:w="99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2,477.90</w:t>
            </w:r>
          </w:p>
        </w:tc>
        <w:tc>
          <w:tcPr>
            <w:tcW w:w="108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-8,661.60</w:t>
            </w:r>
          </w:p>
        </w:tc>
        <w:tc>
          <w:tcPr>
            <w:tcW w:w="1090"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170,524.70</w:t>
            </w:r>
          </w:p>
        </w:tc>
        <w:tc>
          <w:tcPr>
            <w:tcW w:w="1122" w:type="dxa"/>
            <w:vMerge w:val="restart"/>
            <w:shd w:val="clear" w:color="auto" w:fill="auto"/>
            <w:noWrap/>
            <w:tcMar>
              <w:top w:w="15" w:type="dxa"/>
              <w:left w:w="15" w:type="dxa"/>
              <w:bottom w:w="0" w:type="dxa"/>
              <w:right w:w="15" w:type="dxa"/>
            </w:tcMar>
            <w:vAlign w:val="center"/>
            <w:hideMark/>
          </w:tcPr>
          <w:p w:rsidR="00561060" w:rsidRPr="004B50B8" w:rsidRDefault="00561060" w:rsidP="008E01DF">
            <w:pPr>
              <w:jc w:val="center"/>
              <w:rPr>
                <w:rFonts w:eastAsia="Times New Roman" w:cs="Times New Roman"/>
                <w:b/>
                <w:bCs/>
                <w:i/>
                <w:iCs/>
                <w:sz w:val="18"/>
                <w:szCs w:val="18"/>
              </w:rPr>
            </w:pPr>
            <w:r w:rsidRPr="004B50B8">
              <w:rPr>
                <w:rFonts w:eastAsia="Times New Roman" w:cs="Times New Roman"/>
                <w:b/>
                <w:bCs/>
                <w:i/>
                <w:iCs/>
                <w:sz w:val="18"/>
                <w:szCs w:val="18"/>
              </w:rPr>
              <w:t>172,946.10</w:t>
            </w:r>
          </w:p>
        </w:tc>
      </w:tr>
      <w:tr w:rsidR="00561060" w:rsidRPr="004B50B8" w:rsidTr="004B50B8">
        <w:trPr>
          <w:trHeight w:val="450"/>
        </w:trPr>
        <w:tc>
          <w:tcPr>
            <w:tcW w:w="1658" w:type="dxa"/>
            <w:vMerge/>
            <w:vAlign w:val="center"/>
            <w:hideMark/>
          </w:tcPr>
          <w:p w:rsidR="00561060" w:rsidRPr="004B50B8" w:rsidRDefault="00561060" w:rsidP="008E01DF">
            <w:pPr>
              <w:rPr>
                <w:rFonts w:eastAsia="Times New Roman" w:cs="Times New Roman"/>
                <w:b/>
                <w:bCs/>
                <w:sz w:val="18"/>
                <w:szCs w:val="18"/>
              </w:rPr>
            </w:pPr>
          </w:p>
        </w:tc>
        <w:tc>
          <w:tcPr>
            <w:tcW w:w="894" w:type="dxa"/>
            <w:vMerge/>
            <w:vAlign w:val="center"/>
            <w:hideMark/>
          </w:tcPr>
          <w:p w:rsidR="00561060" w:rsidRPr="004B50B8" w:rsidRDefault="00561060" w:rsidP="008E01DF">
            <w:pPr>
              <w:rPr>
                <w:rFonts w:eastAsia="Times New Roman" w:cs="Times New Roman"/>
                <w:b/>
                <w:bCs/>
                <w:i/>
                <w:iCs/>
                <w:sz w:val="18"/>
                <w:szCs w:val="18"/>
              </w:rPr>
            </w:pPr>
          </w:p>
        </w:tc>
        <w:tc>
          <w:tcPr>
            <w:tcW w:w="900" w:type="dxa"/>
            <w:vMerge/>
            <w:vAlign w:val="center"/>
            <w:hideMark/>
          </w:tcPr>
          <w:p w:rsidR="00561060" w:rsidRPr="004B50B8" w:rsidRDefault="00561060" w:rsidP="008E01DF">
            <w:pPr>
              <w:rPr>
                <w:rFonts w:eastAsia="Times New Roman" w:cs="Times New Roman"/>
                <w:b/>
                <w:bCs/>
                <w:i/>
                <w:iCs/>
                <w:sz w:val="18"/>
                <w:szCs w:val="18"/>
              </w:rPr>
            </w:pPr>
          </w:p>
        </w:tc>
        <w:tc>
          <w:tcPr>
            <w:tcW w:w="1133" w:type="dxa"/>
            <w:vMerge/>
            <w:vAlign w:val="center"/>
            <w:hideMark/>
          </w:tcPr>
          <w:p w:rsidR="00561060" w:rsidRPr="004B50B8" w:rsidRDefault="00561060" w:rsidP="008E01DF">
            <w:pPr>
              <w:rPr>
                <w:rFonts w:eastAsia="Times New Roman" w:cs="Times New Roman"/>
                <w:b/>
                <w:bCs/>
                <w:i/>
                <w:iCs/>
                <w:sz w:val="18"/>
                <w:szCs w:val="18"/>
              </w:rPr>
            </w:pPr>
          </w:p>
        </w:tc>
        <w:tc>
          <w:tcPr>
            <w:tcW w:w="1207" w:type="dxa"/>
            <w:vMerge/>
            <w:vAlign w:val="center"/>
            <w:hideMark/>
          </w:tcPr>
          <w:p w:rsidR="00561060" w:rsidRPr="004B50B8" w:rsidRDefault="00561060" w:rsidP="008E01DF">
            <w:pPr>
              <w:rPr>
                <w:rFonts w:eastAsia="Times New Roman" w:cs="Times New Roman"/>
                <w:b/>
                <w:bCs/>
                <w:i/>
                <w:iCs/>
                <w:sz w:val="18"/>
                <w:szCs w:val="18"/>
              </w:rPr>
            </w:pPr>
          </w:p>
        </w:tc>
        <w:tc>
          <w:tcPr>
            <w:tcW w:w="1170" w:type="dxa"/>
            <w:vMerge/>
            <w:vAlign w:val="center"/>
            <w:hideMark/>
          </w:tcPr>
          <w:p w:rsidR="00561060" w:rsidRPr="004B50B8" w:rsidRDefault="00561060" w:rsidP="008E01DF">
            <w:pPr>
              <w:rPr>
                <w:rFonts w:eastAsia="Times New Roman" w:cs="Times New Roman"/>
                <w:b/>
                <w:bCs/>
                <w:i/>
                <w:iCs/>
                <w:sz w:val="18"/>
                <w:szCs w:val="18"/>
              </w:rPr>
            </w:pPr>
          </w:p>
        </w:tc>
        <w:tc>
          <w:tcPr>
            <w:tcW w:w="810" w:type="dxa"/>
            <w:vMerge/>
            <w:vAlign w:val="center"/>
            <w:hideMark/>
          </w:tcPr>
          <w:p w:rsidR="00561060" w:rsidRPr="004B50B8" w:rsidRDefault="00561060" w:rsidP="008E01DF">
            <w:pPr>
              <w:rPr>
                <w:rFonts w:eastAsia="Times New Roman" w:cs="Times New Roman"/>
                <w:b/>
                <w:bCs/>
                <w:i/>
                <w:iCs/>
                <w:sz w:val="18"/>
                <w:szCs w:val="18"/>
              </w:rPr>
            </w:pPr>
          </w:p>
        </w:tc>
        <w:tc>
          <w:tcPr>
            <w:tcW w:w="630" w:type="dxa"/>
            <w:vMerge/>
            <w:vAlign w:val="center"/>
            <w:hideMark/>
          </w:tcPr>
          <w:p w:rsidR="00561060" w:rsidRPr="004B50B8" w:rsidRDefault="00561060" w:rsidP="008E01DF">
            <w:pPr>
              <w:rPr>
                <w:rFonts w:eastAsia="Times New Roman" w:cs="Times New Roman"/>
                <w:b/>
                <w:bCs/>
                <w:i/>
                <w:iCs/>
                <w:sz w:val="18"/>
                <w:szCs w:val="18"/>
              </w:rPr>
            </w:pPr>
          </w:p>
        </w:tc>
        <w:tc>
          <w:tcPr>
            <w:tcW w:w="720" w:type="dxa"/>
            <w:vMerge/>
            <w:vAlign w:val="center"/>
            <w:hideMark/>
          </w:tcPr>
          <w:p w:rsidR="00561060" w:rsidRPr="004B50B8" w:rsidRDefault="00561060" w:rsidP="008E01DF">
            <w:pPr>
              <w:rPr>
                <w:rFonts w:eastAsia="Times New Roman" w:cs="Times New Roman"/>
                <w:b/>
                <w:bCs/>
                <w:i/>
                <w:iCs/>
                <w:sz w:val="18"/>
                <w:szCs w:val="18"/>
              </w:rPr>
            </w:pPr>
          </w:p>
        </w:tc>
        <w:tc>
          <w:tcPr>
            <w:tcW w:w="720" w:type="dxa"/>
            <w:vMerge/>
            <w:vAlign w:val="center"/>
            <w:hideMark/>
          </w:tcPr>
          <w:p w:rsidR="00561060" w:rsidRPr="004B50B8" w:rsidRDefault="00561060" w:rsidP="008E01DF">
            <w:pPr>
              <w:rPr>
                <w:rFonts w:eastAsia="Times New Roman" w:cs="Times New Roman"/>
                <w:b/>
                <w:bCs/>
                <w:i/>
                <w:iCs/>
                <w:sz w:val="18"/>
                <w:szCs w:val="18"/>
              </w:rPr>
            </w:pPr>
          </w:p>
        </w:tc>
        <w:tc>
          <w:tcPr>
            <w:tcW w:w="990" w:type="dxa"/>
            <w:vMerge/>
            <w:vAlign w:val="center"/>
            <w:hideMark/>
          </w:tcPr>
          <w:p w:rsidR="00561060" w:rsidRPr="004B50B8" w:rsidRDefault="00561060" w:rsidP="008E01DF">
            <w:pPr>
              <w:rPr>
                <w:rFonts w:eastAsia="Times New Roman" w:cs="Times New Roman"/>
                <w:b/>
                <w:bCs/>
                <w:i/>
                <w:iCs/>
                <w:sz w:val="18"/>
                <w:szCs w:val="18"/>
              </w:rPr>
            </w:pPr>
          </w:p>
        </w:tc>
        <w:tc>
          <w:tcPr>
            <w:tcW w:w="1080" w:type="dxa"/>
            <w:vMerge/>
            <w:vAlign w:val="center"/>
            <w:hideMark/>
          </w:tcPr>
          <w:p w:rsidR="00561060" w:rsidRPr="004B50B8" w:rsidRDefault="00561060" w:rsidP="008E01DF">
            <w:pPr>
              <w:rPr>
                <w:rFonts w:eastAsia="Times New Roman" w:cs="Times New Roman"/>
                <w:b/>
                <w:bCs/>
                <w:i/>
                <w:iCs/>
                <w:sz w:val="18"/>
                <w:szCs w:val="18"/>
              </w:rPr>
            </w:pPr>
          </w:p>
        </w:tc>
        <w:tc>
          <w:tcPr>
            <w:tcW w:w="1090" w:type="dxa"/>
            <w:vMerge/>
            <w:vAlign w:val="center"/>
            <w:hideMark/>
          </w:tcPr>
          <w:p w:rsidR="00561060" w:rsidRPr="004B50B8" w:rsidRDefault="00561060" w:rsidP="008E01DF">
            <w:pPr>
              <w:rPr>
                <w:rFonts w:eastAsia="Times New Roman" w:cs="Times New Roman"/>
                <w:b/>
                <w:bCs/>
                <w:i/>
                <w:iCs/>
                <w:sz w:val="18"/>
                <w:szCs w:val="18"/>
              </w:rPr>
            </w:pPr>
          </w:p>
        </w:tc>
        <w:tc>
          <w:tcPr>
            <w:tcW w:w="1122" w:type="dxa"/>
            <w:vMerge/>
            <w:vAlign w:val="center"/>
            <w:hideMark/>
          </w:tcPr>
          <w:p w:rsidR="00561060" w:rsidRPr="004B50B8" w:rsidRDefault="00561060" w:rsidP="008E01DF">
            <w:pPr>
              <w:rPr>
                <w:rFonts w:eastAsia="Times New Roman" w:cs="Times New Roman"/>
                <w:b/>
                <w:bCs/>
                <w:i/>
                <w:iCs/>
                <w:sz w:val="18"/>
                <w:szCs w:val="18"/>
              </w:rPr>
            </w:pPr>
          </w:p>
        </w:tc>
      </w:tr>
    </w:tbl>
    <w:p w:rsidR="00561060" w:rsidRPr="005A49D3" w:rsidRDefault="00561060" w:rsidP="00561060">
      <w:pPr>
        <w:rPr>
          <w:rFonts w:ascii="Times New Roman" w:hAnsi="Times New Roman" w:cs="Times New Roman"/>
          <w:szCs w:val="22"/>
          <w:highlight w:val="yellow"/>
          <w:rtl/>
        </w:rPr>
        <w:sectPr w:rsidR="00561060" w:rsidRPr="005A49D3" w:rsidSect="004F0155">
          <w:pgSz w:w="16838" w:h="11906" w:orient="landscape" w:code="9"/>
          <w:pgMar w:top="1800" w:right="1440" w:bottom="1800" w:left="1440" w:header="720" w:footer="720" w:gutter="0"/>
          <w:cols w:space="708"/>
          <w:docGrid w:linePitch="360"/>
        </w:sectPr>
      </w:pPr>
    </w:p>
    <w:p w:rsidR="00561060" w:rsidRPr="005A49D3" w:rsidRDefault="00561060" w:rsidP="004F0155">
      <w:pPr>
        <w:rPr>
          <w:szCs w:val="22"/>
        </w:rPr>
      </w:pPr>
    </w:p>
    <w:sectPr w:rsidR="00561060" w:rsidRPr="005A49D3" w:rsidSect="004F0155">
      <w:pgSz w:w="16838" w:h="11906" w:orient="landscape" w:code="9"/>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901" w:rsidRDefault="00CA0901" w:rsidP="00B13461">
      <w:r>
        <w:separator/>
      </w:r>
    </w:p>
  </w:endnote>
  <w:endnote w:type="continuationSeparator" w:id="0">
    <w:p w:rsidR="00CA0901" w:rsidRDefault="00CA0901" w:rsidP="00B13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Bahij Zar">
    <w:panose1 w:val="02040503050201020203"/>
    <w:charset w:val="00"/>
    <w:family w:val="roman"/>
    <w:pitch w:val="variable"/>
    <w:sig w:usb0="8000202F" w:usb1="8000A04A" w:usb2="00000008" w:usb3="00000000" w:csb0="00000041"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150711"/>
      <w:docPartObj>
        <w:docPartGallery w:val="Page Numbers (Bottom of Page)"/>
        <w:docPartUnique/>
      </w:docPartObj>
    </w:sdtPr>
    <w:sdtEndPr>
      <w:rPr>
        <w:noProof/>
      </w:rPr>
    </w:sdtEndPr>
    <w:sdtContent>
      <w:p w:rsidR="00D40FA3" w:rsidRDefault="00D40FA3">
        <w:pPr>
          <w:pStyle w:val="Footer"/>
          <w:jc w:val="center"/>
        </w:pPr>
        <w:r>
          <w:fldChar w:fldCharType="begin"/>
        </w:r>
        <w:r>
          <w:instrText xml:space="preserve"> PAGE   \* MERGEFORMAT </w:instrText>
        </w:r>
        <w:r>
          <w:fldChar w:fldCharType="separate"/>
        </w:r>
        <w:r w:rsidR="00374F00">
          <w:rPr>
            <w:noProof/>
          </w:rPr>
          <w:t>27</w:t>
        </w:r>
        <w:r>
          <w:rPr>
            <w:noProof/>
          </w:rPr>
          <w:fldChar w:fldCharType="end"/>
        </w:r>
      </w:p>
    </w:sdtContent>
  </w:sdt>
  <w:p w:rsidR="00D40FA3" w:rsidRDefault="00D40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901" w:rsidRDefault="00CA0901" w:rsidP="00B13461">
      <w:r>
        <w:separator/>
      </w:r>
    </w:p>
  </w:footnote>
  <w:footnote w:type="continuationSeparator" w:id="0">
    <w:p w:rsidR="00CA0901" w:rsidRDefault="00CA0901" w:rsidP="00B13461">
      <w:r>
        <w:continuationSeparator/>
      </w:r>
    </w:p>
  </w:footnote>
  <w:footnote w:id="1">
    <w:p w:rsidR="004F0155" w:rsidRDefault="004F0155" w:rsidP="00B1346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25E45D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6"/>
    <w:multiLevelType w:val="hybridMultilevel"/>
    <w:tmpl w:val="54E49EB4"/>
    <w:lvl w:ilvl="0" w:tplc="FFFFFFFF">
      <w:start w:val="19"/>
      <w:numFmt w:val="decimal"/>
      <w:pStyle w:val="ListNumber2"/>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7"/>
    <w:multiLevelType w:val="hybridMultilevel"/>
    <w:tmpl w:val="71F32454"/>
    <w:lvl w:ilvl="0" w:tplc="FFFFFFFF">
      <w:start w:val="28"/>
      <w:numFmt w:val="decimal"/>
      <w:pStyle w:val="List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E"/>
    <w:multiLevelType w:val="hybridMultilevel"/>
    <w:tmpl w:val="7C3DBD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8768D7"/>
    <w:multiLevelType w:val="multilevel"/>
    <w:tmpl w:val="B42A4D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9064C26"/>
    <w:multiLevelType w:val="hybridMultilevel"/>
    <w:tmpl w:val="29A63E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C46756"/>
    <w:multiLevelType w:val="hybridMultilevel"/>
    <w:tmpl w:val="760C3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0361EA8">
      <w:start w:val="1"/>
      <w:numFmt w:val="decimal"/>
      <w:lvlText w:val="%7."/>
      <w:lvlJc w:val="left"/>
      <w:pPr>
        <w:ind w:left="5040" w:hanging="360"/>
      </w:pPr>
      <w:rPr>
        <w:b/>
        <w:bCs/>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EBD103C"/>
    <w:multiLevelType w:val="hybridMultilevel"/>
    <w:tmpl w:val="19DEB224"/>
    <w:lvl w:ilvl="0" w:tplc="C320554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8E5F6A"/>
    <w:multiLevelType w:val="hybridMultilevel"/>
    <w:tmpl w:val="5DA62AC6"/>
    <w:lvl w:ilvl="0" w:tplc="20D4B000">
      <w:start w:val="99"/>
      <w:numFmt w:val="bullet"/>
      <w:lvlText w:val="-"/>
      <w:lvlJc w:val="left"/>
      <w:pPr>
        <w:ind w:left="720" w:hanging="360"/>
      </w:pPr>
      <w:rPr>
        <w:rFonts w:ascii="B Zar" w:eastAsia="Calibri" w:hAnsi="B Zar" w:cs="B Zar" w:hint="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DA3085"/>
    <w:multiLevelType w:val="hybridMultilevel"/>
    <w:tmpl w:val="371E0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FE5621"/>
    <w:multiLevelType w:val="hybridMultilevel"/>
    <w:tmpl w:val="EC844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121D01"/>
    <w:multiLevelType w:val="hybridMultilevel"/>
    <w:tmpl w:val="C718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9556AF"/>
    <w:multiLevelType w:val="hybridMultilevel"/>
    <w:tmpl w:val="78782DF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385CAD"/>
    <w:multiLevelType w:val="hybridMultilevel"/>
    <w:tmpl w:val="34D0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D40A0"/>
    <w:multiLevelType w:val="hybridMultilevel"/>
    <w:tmpl w:val="EEDAC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305E4E1E"/>
    <w:multiLevelType w:val="hybridMultilevel"/>
    <w:tmpl w:val="36B2B5B4"/>
    <w:lvl w:ilvl="0" w:tplc="20D4B000">
      <w:start w:val="99"/>
      <w:numFmt w:val="bullet"/>
      <w:lvlText w:val="-"/>
      <w:lvlJc w:val="left"/>
      <w:pPr>
        <w:ind w:left="720" w:hanging="360"/>
      </w:pPr>
      <w:rPr>
        <w:rFonts w:ascii="B Zar" w:eastAsia="Calibri" w:hAnsi="B Zar" w:cs="B Zar" w:hint="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221D7E"/>
    <w:multiLevelType w:val="hybridMultilevel"/>
    <w:tmpl w:val="6504D61C"/>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35FD5CF4"/>
    <w:multiLevelType w:val="hybridMultilevel"/>
    <w:tmpl w:val="D08C3B9E"/>
    <w:lvl w:ilvl="0" w:tplc="5C687272">
      <w:start w:val="1"/>
      <w:numFmt w:val="bullet"/>
      <w:lvlText w:val=""/>
      <w:lvlJc w:val="left"/>
      <w:pPr>
        <w:ind w:left="720" w:hanging="360"/>
      </w:pPr>
      <w:rPr>
        <w:rFonts w:ascii="Symbol" w:hAnsi="Symbol" w:cs="Symbol" w:hint="default"/>
        <w:kern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464D25"/>
    <w:multiLevelType w:val="hybridMultilevel"/>
    <w:tmpl w:val="6D7E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663A4"/>
    <w:multiLevelType w:val="hybridMultilevel"/>
    <w:tmpl w:val="B0A6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86A4F"/>
    <w:multiLevelType w:val="hybridMultilevel"/>
    <w:tmpl w:val="3796C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D55410"/>
    <w:multiLevelType w:val="hybridMultilevel"/>
    <w:tmpl w:val="3C4E1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E94E1C"/>
    <w:multiLevelType w:val="hybridMultilevel"/>
    <w:tmpl w:val="8468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C63DD"/>
    <w:multiLevelType w:val="hybridMultilevel"/>
    <w:tmpl w:val="E5B61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6F6B31"/>
    <w:multiLevelType w:val="hybridMultilevel"/>
    <w:tmpl w:val="2A7E7C16"/>
    <w:lvl w:ilvl="0" w:tplc="20D4B000">
      <w:start w:val="99"/>
      <w:numFmt w:val="bullet"/>
      <w:lvlText w:val="-"/>
      <w:lvlJc w:val="left"/>
      <w:pPr>
        <w:ind w:left="720" w:hanging="360"/>
      </w:pPr>
      <w:rPr>
        <w:rFonts w:ascii="B Zar" w:eastAsia="Calibri" w:hAnsi="B Zar" w:cs="B Zar" w:hint="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E429BE"/>
    <w:multiLevelType w:val="hybridMultilevel"/>
    <w:tmpl w:val="57A48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0D065B"/>
    <w:multiLevelType w:val="hybridMultilevel"/>
    <w:tmpl w:val="26D89DDE"/>
    <w:lvl w:ilvl="0" w:tplc="C32055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D0B4E"/>
    <w:multiLevelType w:val="hybridMultilevel"/>
    <w:tmpl w:val="C656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BC5453"/>
    <w:multiLevelType w:val="hybridMultilevel"/>
    <w:tmpl w:val="7ADA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E0183F"/>
    <w:multiLevelType w:val="hybridMultilevel"/>
    <w:tmpl w:val="AF8E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C1893"/>
    <w:multiLevelType w:val="hybridMultilevel"/>
    <w:tmpl w:val="15CEE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96091F"/>
    <w:multiLevelType w:val="hybridMultilevel"/>
    <w:tmpl w:val="1A662D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0C7418C"/>
    <w:multiLevelType w:val="hybridMultilevel"/>
    <w:tmpl w:val="C8B8F1B0"/>
    <w:lvl w:ilvl="0" w:tplc="BE2646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B670C6"/>
    <w:multiLevelType w:val="hybridMultilevel"/>
    <w:tmpl w:val="ED04439C"/>
    <w:lvl w:ilvl="0" w:tplc="C32055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4B43C0"/>
    <w:multiLevelType w:val="hybridMultilevel"/>
    <w:tmpl w:val="C26A034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506EFA"/>
    <w:multiLevelType w:val="hybridMultilevel"/>
    <w:tmpl w:val="649C4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1F3212"/>
    <w:multiLevelType w:val="hybridMultilevel"/>
    <w:tmpl w:val="3E6C3E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9A4838"/>
    <w:multiLevelType w:val="hybridMultilevel"/>
    <w:tmpl w:val="96060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E879B5"/>
    <w:multiLevelType w:val="hybridMultilevel"/>
    <w:tmpl w:val="B504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3E7943"/>
    <w:multiLevelType w:val="hybridMultilevel"/>
    <w:tmpl w:val="691A889C"/>
    <w:lvl w:ilvl="0" w:tplc="43FC7B6C">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1"/>
  </w:num>
  <w:num w:numId="5">
    <w:abstractNumId w:val="25"/>
  </w:num>
  <w:num w:numId="6">
    <w:abstractNumId w:val="11"/>
  </w:num>
  <w:num w:numId="7">
    <w:abstractNumId w:val="8"/>
  </w:num>
  <w:num w:numId="8">
    <w:abstractNumId w:val="32"/>
  </w:num>
  <w:num w:numId="9">
    <w:abstractNumId w:val="12"/>
  </w:num>
  <w:num w:numId="10">
    <w:abstractNumId w:val="16"/>
  </w:num>
  <w:num w:numId="11">
    <w:abstractNumId w:val="18"/>
  </w:num>
  <w:num w:numId="12">
    <w:abstractNumId w:val="28"/>
  </w:num>
  <w:num w:numId="13">
    <w:abstractNumId w:val="5"/>
  </w:num>
  <w:num w:numId="14">
    <w:abstractNumId w:val="3"/>
  </w:num>
  <w:num w:numId="15">
    <w:abstractNumId w:val="4"/>
  </w:num>
  <w:num w:numId="16">
    <w:abstractNumId w:val="6"/>
  </w:num>
  <w:num w:numId="17">
    <w:abstractNumId w:val="27"/>
  </w:num>
  <w:num w:numId="18">
    <w:abstractNumId w:val="19"/>
  </w:num>
  <w:num w:numId="19">
    <w:abstractNumId w:val="14"/>
  </w:num>
  <w:num w:numId="20">
    <w:abstractNumId w:val="40"/>
  </w:num>
  <w:num w:numId="21">
    <w:abstractNumId w:val="31"/>
  </w:num>
  <w:num w:numId="22">
    <w:abstractNumId w:val="37"/>
  </w:num>
  <w:num w:numId="23">
    <w:abstractNumId w:val="30"/>
  </w:num>
  <w:num w:numId="24">
    <w:abstractNumId w:val="7"/>
  </w:num>
  <w:num w:numId="25">
    <w:abstractNumId w:val="29"/>
  </w:num>
  <w:num w:numId="26">
    <w:abstractNumId w:val="24"/>
  </w:num>
  <w:num w:numId="27">
    <w:abstractNumId w:val="15"/>
  </w:num>
  <w:num w:numId="28">
    <w:abstractNumId w:val="13"/>
  </w:num>
  <w:num w:numId="29">
    <w:abstractNumId w:val="23"/>
  </w:num>
  <w:num w:numId="30">
    <w:abstractNumId w:val="21"/>
  </w:num>
  <w:num w:numId="31">
    <w:abstractNumId w:val="22"/>
  </w:num>
  <w:num w:numId="32">
    <w:abstractNumId w:val="36"/>
  </w:num>
  <w:num w:numId="33">
    <w:abstractNumId w:val="33"/>
  </w:num>
  <w:num w:numId="34">
    <w:abstractNumId w:val="38"/>
  </w:num>
  <w:num w:numId="35">
    <w:abstractNumId w:val="10"/>
  </w:num>
  <w:num w:numId="36">
    <w:abstractNumId w:val="17"/>
  </w:num>
  <w:num w:numId="37">
    <w:abstractNumId w:val="26"/>
  </w:num>
  <w:num w:numId="38">
    <w:abstractNumId w:val="34"/>
  </w:num>
  <w:num w:numId="39">
    <w:abstractNumId w:val="35"/>
  </w:num>
  <w:num w:numId="40">
    <w:abstractNumId w:val="20"/>
  </w:num>
  <w:num w:numId="41">
    <w:abstractNumId w:val="39"/>
  </w:num>
  <w:num w:numId="42">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61"/>
    <w:rsid w:val="0003227F"/>
    <w:rsid w:val="00040DC7"/>
    <w:rsid w:val="00044E5A"/>
    <w:rsid w:val="00060FE4"/>
    <w:rsid w:val="000615B8"/>
    <w:rsid w:val="000A4DB0"/>
    <w:rsid w:val="000B1D49"/>
    <w:rsid w:val="000C26DE"/>
    <w:rsid w:val="000C5C13"/>
    <w:rsid w:val="000D0D1F"/>
    <w:rsid w:val="000D2950"/>
    <w:rsid w:val="00116B63"/>
    <w:rsid w:val="001225F0"/>
    <w:rsid w:val="00132542"/>
    <w:rsid w:val="00132CF5"/>
    <w:rsid w:val="0016688E"/>
    <w:rsid w:val="00184CDF"/>
    <w:rsid w:val="002411D2"/>
    <w:rsid w:val="0024271A"/>
    <w:rsid w:val="00264556"/>
    <w:rsid w:val="0029450F"/>
    <w:rsid w:val="00295FD4"/>
    <w:rsid w:val="0029639D"/>
    <w:rsid w:val="002A06A9"/>
    <w:rsid w:val="002C62D6"/>
    <w:rsid w:val="002E01E9"/>
    <w:rsid w:val="00300BE0"/>
    <w:rsid w:val="00312B80"/>
    <w:rsid w:val="0031624B"/>
    <w:rsid w:val="003453DD"/>
    <w:rsid w:val="0035712C"/>
    <w:rsid w:val="00357BCA"/>
    <w:rsid w:val="00374F00"/>
    <w:rsid w:val="003771C5"/>
    <w:rsid w:val="003B1244"/>
    <w:rsid w:val="003E3F09"/>
    <w:rsid w:val="003E67A2"/>
    <w:rsid w:val="003E793E"/>
    <w:rsid w:val="003F1AB4"/>
    <w:rsid w:val="004065FA"/>
    <w:rsid w:val="00417587"/>
    <w:rsid w:val="00417877"/>
    <w:rsid w:val="00423774"/>
    <w:rsid w:val="004331DD"/>
    <w:rsid w:val="004504AC"/>
    <w:rsid w:val="00482476"/>
    <w:rsid w:val="004B50B8"/>
    <w:rsid w:val="004C0A4A"/>
    <w:rsid w:val="004D2078"/>
    <w:rsid w:val="004D3AA4"/>
    <w:rsid w:val="004E0A61"/>
    <w:rsid w:val="004F0155"/>
    <w:rsid w:val="00512C0A"/>
    <w:rsid w:val="005160AF"/>
    <w:rsid w:val="00542EFA"/>
    <w:rsid w:val="0055014A"/>
    <w:rsid w:val="00561060"/>
    <w:rsid w:val="005A49D3"/>
    <w:rsid w:val="005A5549"/>
    <w:rsid w:val="005B7EE2"/>
    <w:rsid w:val="005D6C68"/>
    <w:rsid w:val="005F2008"/>
    <w:rsid w:val="005F3B5A"/>
    <w:rsid w:val="00622CB6"/>
    <w:rsid w:val="00624978"/>
    <w:rsid w:val="00627377"/>
    <w:rsid w:val="00643527"/>
    <w:rsid w:val="00651ECB"/>
    <w:rsid w:val="00676981"/>
    <w:rsid w:val="00687185"/>
    <w:rsid w:val="00692E65"/>
    <w:rsid w:val="006A3D8C"/>
    <w:rsid w:val="006C145E"/>
    <w:rsid w:val="006C565A"/>
    <w:rsid w:val="00704EBE"/>
    <w:rsid w:val="00722370"/>
    <w:rsid w:val="0077163B"/>
    <w:rsid w:val="00774D0A"/>
    <w:rsid w:val="007923CB"/>
    <w:rsid w:val="00795BE2"/>
    <w:rsid w:val="007A5FFB"/>
    <w:rsid w:val="007B5E07"/>
    <w:rsid w:val="007F28DE"/>
    <w:rsid w:val="008002FF"/>
    <w:rsid w:val="00813F77"/>
    <w:rsid w:val="00834578"/>
    <w:rsid w:val="00845DE7"/>
    <w:rsid w:val="00862183"/>
    <w:rsid w:val="00873EC3"/>
    <w:rsid w:val="00875781"/>
    <w:rsid w:val="00895B23"/>
    <w:rsid w:val="008A5890"/>
    <w:rsid w:val="008C5D48"/>
    <w:rsid w:val="008E01DF"/>
    <w:rsid w:val="00911600"/>
    <w:rsid w:val="00931B9C"/>
    <w:rsid w:val="009349A1"/>
    <w:rsid w:val="00943580"/>
    <w:rsid w:val="009437E5"/>
    <w:rsid w:val="009516D8"/>
    <w:rsid w:val="009541E5"/>
    <w:rsid w:val="00955CDD"/>
    <w:rsid w:val="00974BA7"/>
    <w:rsid w:val="00981E78"/>
    <w:rsid w:val="00985176"/>
    <w:rsid w:val="00990309"/>
    <w:rsid w:val="009C264A"/>
    <w:rsid w:val="009C4884"/>
    <w:rsid w:val="009D14AA"/>
    <w:rsid w:val="009D6E9F"/>
    <w:rsid w:val="00A00C6A"/>
    <w:rsid w:val="00A46279"/>
    <w:rsid w:val="00A63524"/>
    <w:rsid w:val="00A63611"/>
    <w:rsid w:val="00A670FD"/>
    <w:rsid w:val="00A73652"/>
    <w:rsid w:val="00A9289E"/>
    <w:rsid w:val="00A94EB7"/>
    <w:rsid w:val="00A9552E"/>
    <w:rsid w:val="00AB2365"/>
    <w:rsid w:val="00AD5B9F"/>
    <w:rsid w:val="00AE2C21"/>
    <w:rsid w:val="00AF33F9"/>
    <w:rsid w:val="00B01D5C"/>
    <w:rsid w:val="00B061E9"/>
    <w:rsid w:val="00B13461"/>
    <w:rsid w:val="00B16908"/>
    <w:rsid w:val="00B312E5"/>
    <w:rsid w:val="00B914BB"/>
    <w:rsid w:val="00B955A6"/>
    <w:rsid w:val="00C61A56"/>
    <w:rsid w:val="00C7593E"/>
    <w:rsid w:val="00C97BE2"/>
    <w:rsid w:val="00CA0901"/>
    <w:rsid w:val="00CA5DDE"/>
    <w:rsid w:val="00CC4332"/>
    <w:rsid w:val="00CD2886"/>
    <w:rsid w:val="00D061B5"/>
    <w:rsid w:val="00D13154"/>
    <w:rsid w:val="00D32829"/>
    <w:rsid w:val="00D40FA3"/>
    <w:rsid w:val="00D64EB1"/>
    <w:rsid w:val="00D95123"/>
    <w:rsid w:val="00D9713C"/>
    <w:rsid w:val="00DA5ED6"/>
    <w:rsid w:val="00DE6B48"/>
    <w:rsid w:val="00E0532A"/>
    <w:rsid w:val="00E115BE"/>
    <w:rsid w:val="00E11D13"/>
    <w:rsid w:val="00E27EE7"/>
    <w:rsid w:val="00E4313B"/>
    <w:rsid w:val="00E50B8E"/>
    <w:rsid w:val="00E605D8"/>
    <w:rsid w:val="00E70BC6"/>
    <w:rsid w:val="00E7658B"/>
    <w:rsid w:val="00E77970"/>
    <w:rsid w:val="00E852BA"/>
    <w:rsid w:val="00E93C90"/>
    <w:rsid w:val="00EA09AE"/>
    <w:rsid w:val="00EA5551"/>
    <w:rsid w:val="00EB533B"/>
    <w:rsid w:val="00ED335F"/>
    <w:rsid w:val="00F000C9"/>
    <w:rsid w:val="00F01BD3"/>
    <w:rsid w:val="00F23169"/>
    <w:rsid w:val="00F3029C"/>
    <w:rsid w:val="00F31119"/>
    <w:rsid w:val="00F74FA1"/>
    <w:rsid w:val="00F868CF"/>
    <w:rsid w:val="00FA58D9"/>
    <w:rsid w:val="00FE7BCD"/>
    <w:rsid w:val="00FF7E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F70993-7678-4AD7-8AFF-D7E6900F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CDF"/>
    <w:pPr>
      <w:spacing w:after="100" w:line="240" w:lineRule="auto"/>
    </w:pPr>
    <w:rPr>
      <w:rFonts w:ascii="Garamond" w:eastAsia="Calibri" w:hAnsi="Garamond" w:cs="Arial"/>
      <w:kern w:val="22"/>
      <w:szCs w:val="20"/>
      <w:lang w:val="en-US"/>
    </w:rPr>
  </w:style>
  <w:style w:type="paragraph" w:styleId="Heading1">
    <w:name w:val="heading 1"/>
    <w:basedOn w:val="Normal"/>
    <w:next w:val="Normal"/>
    <w:link w:val="Heading1Char"/>
    <w:uiPriority w:val="9"/>
    <w:qFormat/>
    <w:rsid w:val="00542EFA"/>
    <w:pPr>
      <w:keepNext/>
      <w:keepLines/>
      <w:spacing w:before="240"/>
      <w:outlineLvl w:val="0"/>
    </w:pPr>
    <w:rPr>
      <w:rFonts w:eastAsiaTheme="majorEastAsia" w:cstheme="majorBidi"/>
      <w:b/>
      <w:color w:val="1F497D"/>
      <w:sz w:val="36"/>
      <w:szCs w:val="32"/>
    </w:rPr>
  </w:style>
  <w:style w:type="paragraph" w:styleId="Heading2">
    <w:name w:val="heading 2"/>
    <w:basedOn w:val="Normal"/>
    <w:next w:val="Normal"/>
    <w:link w:val="Heading2Char"/>
    <w:uiPriority w:val="9"/>
    <w:unhideWhenUsed/>
    <w:qFormat/>
    <w:rsid w:val="00AE2C21"/>
    <w:pPr>
      <w:keepNext/>
      <w:spacing w:before="240" w:after="60"/>
      <w:outlineLvl w:val="1"/>
    </w:pPr>
    <w:rPr>
      <w:rFonts w:eastAsia="Times New Roman" w:cs="Times New Roman"/>
      <w:b/>
      <w:bCs/>
      <w:iCs/>
      <w:color w:val="548DD4"/>
      <w:sz w:val="32"/>
      <w:szCs w:val="28"/>
    </w:rPr>
  </w:style>
  <w:style w:type="paragraph" w:styleId="Heading3">
    <w:name w:val="heading 3"/>
    <w:basedOn w:val="Normal"/>
    <w:next w:val="Normal"/>
    <w:link w:val="Heading3Char"/>
    <w:uiPriority w:val="9"/>
    <w:unhideWhenUsed/>
    <w:qFormat/>
    <w:rsid w:val="00AE2C21"/>
    <w:pPr>
      <w:keepNext/>
      <w:keepLines/>
      <w:spacing w:before="40" w:line="259" w:lineRule="auto"/>
      <w:outlineLvl w:val="2"/>
    </w:pPr>
    <w:rPr>
      <w:rFonts w:eastAsia="Times New Roman" w:cs="Times New Roman"/>
      <w:b/>
      <w:color w:val="993366"/>
      <w:sz w:val="28"/>
      <w:szCs w:val="24"/>
    </w:rPr>
  </w:style>
  <w:style w:type="paragraph" w:styleId="Heading4">
    <w:name w:val="heading 4"/>
    <w:basedOn w:val="Normal"/>
    <w:next w:val="Normal"/>
    <w:link w:val="Heading4Char"/>
    <w:uiPriority w:val="9"/>
    <w:unhideWhenUsed/>
    <w:qFormat/>
    <w:rsid w:val="00FA58D9"/>
    <w:pPr>
      <w:keepNext/>
      <w:spacing w:before="240" w:after="60"/>
      <w:outlineLvl w:val="3"/>
    </w:pPr>
    <w:rPr>
      <w:rFonts w:eastAsia="Times New Roman"/>
      <w:b/>
      <w:bCs/>
      <w:color w:val="E36C0A"/>
      <w:sz w:val="28"/>
      <w:szCs w:val="28"/>
    </w:rPr>
  </w:style>
  <w:style w:type="paragraph" w:styleId="Heading5">
    <w:name w:val="heading 5"/>
    <w:basedOn w:val="Normal"/>
    <w:next w:val="Normal"/>
    <w:link w:val="Heading5Char"/>
    <w:uiPriority w:val="9"/>
    <w:unhideWhenUsed/>
    <w:qFormat/>
    <w:rsid w:val="00561060"/>
    <w:pPr>
      <w:keepNext/>
      <w:keepLines/>
      <w:bidi/>
      <w:spacing w:before="200" w:line="276" w:lineRule="auto"/>
      <w:jc w:val="lowKashida"/>
      <w:outlineLvl w:val="4"/>
    </w:pPr>
    <w:rPr>
      <w:rFonts w:ascii="B Zar" w:eastAsia="Times New Roman" w:hAnsi="B Zar" w:cs="B Zar"/>
      <w:color w:val="6A813B"/>
      <w:szCs w:val="22"/>
      <w:lang w:bidi="fa-IR"/>
    </w:rPr>
  </w:style>
  <w:style w:type="paragraph" w:styleId="Heading6">
    <w:name w:val="heading 6"/>
    <w:basedOn w:val="Normal"/>
    <w:next w:val="Normal"/>
    <w:link w:val="Heading6Char"/>
    <w:uiPriority w:val="9"/>
    <w:unhideWhenUsed/>
    <w:qFormat/>
    <w:rsid w:val="00561060"/>
    <w:pPr>
      <w:keepNext/>
      <w:keepLines/>
      <w:bidi/>
      <w:spacing w:before="200" w:line="276" w:lineRule="auto"/>
      <w:jc w:val="lowKashida"/>
      <w:outlineLvl w:val="5"/>
    </w:pPr>
    <w:rPr>
      <w:rFonts w:ascii="Cambria" w:eastAsia="Times New Roman" w:hAnsi="Cambria" w:cs="Times New Roman"/>
      <w:i/>
      <w:iCs/>
      <w:color w:val="243F60"/>
      <w:szCs w:val="22"/>
      <w:lang w:bidi="fa-IR"/>
    </w:rPr>
  </w:style>
  <w:style w:type="paragraph" w:styleId="Heading7">
    <w:name w:val="heading 7"/>
    <w:basedOn w:val="Normal"/>
    <w:next w:val="Normal"/>
    <w:link w:val="Heading7Char"/>
    <w:uiPriority w:val="9"/>
    <w:unhideWhenUsed/>
    <w:qFormat/>
    <w:rsid w:val="00561060"/>
    <w:pPr>
      <w:keepNext/>
      <w:keepLines/>
      <w:bidi/>
      <w:spacing w:before="200" w:line="276" w:lineRule="auto"/>
      <w:jc w:val="lowKashida"/>
      <w:outlineLvl w:val="6"/>
    </w:pPr>
    <w:rPr>
      <w:rFonts w:ascii="Cambria" w:eastAsia="Times New Roman" w:hAnsi="Cambria" w:cs="Times New Roman"/>
      <w:i/>
      <w:iCs/>
      <w:color w:val="404040"/>
      <w:szCs w:val="22"/>
      <w:lang w:bidi="fa-IR"/>
    </w:rPr>
  </w:style>
  <w:style w:type="paragraph" w:styleId="Heading8">
    <w:name w:val="heading 8"/>
    <w:basedOn w:val="Normal"/>
    <w:next w:val="Normal"/>
    <w:link w:val="Heading8Char"/>
    <w:uiPriority w:val="9"/>
    <w:unhideWhenUsed/>
    <w:qFormat/>
    <w:rsid w:val="00561060"/>
    <w:pPr>
      <w:keepNext/>
      <w:keepLines/>
      <w:bidi/>
      <w:spacing w:before="200" w:line="276" w:lineRule="auto"/>
      <w:jc w:val="lowKashida"/>
      <w:outlineLvl w:val="7"/>
    </w:pPr>
    <w:rPr>
      <w:rFonts w:ascii="Cambria" w:eastAsia="Times New Roman" w:hAnsi="Cambria" w:cs="Times New Roman"/>
      <w:color w:val="404040"/>
      <w:lang w:bidi="fa-IR"/>
    </w:rPr>
  </w:style>
  <w:style w:type="paragraph" w:styleId="Heading9">
    <w:name w:val="heading 9"/>
    <w:basedOn w:val="Normal"/>
    <w:next w:val="Normal"/>
    <w:link w:val="Heading9Char"/>
    <w:uiPriority w:val="9"/>
    <w:unhideWhenUsed/>
    <w:qFormat/>
    <w:rsid w:val="00561060"/>
    <w:pPr>
      <w:keepNext/>
      <w:keepLines/>
      <w:bidi/>
      <w:spacing w:before="200" w:line="276" w:lineRule="auto"/>
      <w:jc w:val="lowKashida"/>
      <w:outlineLvl w:val="8"/>
    </w:pPr>
    <w:rPr>
      <w:rFonts w:ascii="Cambria" w:eastAsia="Times New Roman" w:hAnsi="Cambria" w:cs="Times New Roman"/>
      <w:i/>
      <w:iCs/>
      <w:color w:val="40404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FA"/>
    <w:rPr>
      <w:rFonts w:ascii="Garamond" w:eastAsiaTheme="majorEastAsia" w:hAnsi="Garamond" w:cstheme="majorBidi"/>
      <w:b/>
      <w:color w:val="1F497D"/>
      <w:kern w:val="22"/>
      <w:sz w:val="36"/>
      <w:szCs w:val="32"/>
      <w:lang w:val="en-US"/>
    </w:rPr>
  </w:style>
  <w:style w:type="character" w:customStyle="1" w:styleId="Heading2Char">
    <w:name w:val="Heading 2 Char"/>
    <w:basedOn w:val="DefaultParagraphFont"/>
    <w:link w:val="Heading2"/>
    <w:uiPriority w:val="9"/>
    <w:rsid w:val="00AE2C21"/>
    <w:rPr>
      <w:rFonts w:ascii="Garamond" w:eastAsia="Times New Roman" w:hAnsi="Garamond" w:cs="Times New Roman"/>
      <w:b/>
      <w:bCs/>
      <w:iCs/>
      <w:color w:val="548DD4"/>
      <w:kern w:val="22"/>
      <w:sz w:val="32"/>
      <w:szCs w:val="28"/>
      <w:lang w:val="en-US"/>
    </w:rPr>
  </w:style>
  <w:style w:type="character" w:customStyle="1" w:styleId="Heading3Char">
    <w:name w:val="Heading 3 Char"/>
    <w:basedOn w:val="DefaultParagraphFont"/>
    <w:link w:val="Heading3"/>
    <w:uiPriority w:val="9"/>
    <w:rsid w:val="00AE2C21"/>
    <w:rPr>
      <w:rFonts w:ascii="Garamond" w:eastAsia="Times New Roman" w:hAnsi="Garamond" w:cs="Times New Roman"/>
      <w:b/>
      <w:color w:val="993366"/>
      <w:kern w:val="22"/>
      <w:sz w:val="28"/>
      <w:szCs w:val="24"/>
      <w:lang w:val="en-US"/>
    </w:rPr>
  </w:style>
  <w:style w:type="character" w:customStyle="1" w:styleId="Heading4Char">
    <w:name w:val="Heading 4 Char"/>
    <w:basedOn w:val="DefaultParagraphFont"/>
    <w:link w:val="Heading4"/>
    <w:uiPriority w:val="9"/>
    <w:rsid w:val="00FA58D9"/>
    <w:rPr>
      <w:rFonts w:ascii="Garamond" w:eastAsia="Times New Roman" w:hAnsi="Garamond" w:cs="Arial"/>
      <w:b/>
      <w:bCs/>
      <w:color w:val="E36C0A"/>
      <w:kern w:val="22"/>
      <w:sz w:val="28"/>
      <w:szCs w:val="28"/>
      <w:lang w:val="en-US"/>
    </w:rPr>
  </w:style>
  <w:style w:type="character" w:customStyle="1" w:styleId="Heading5Char">
    <w:name w:val="Heading 5 Char"/>
    <w:basedOn w:val="DefaultParagraphFont"/>
    <w:link w:val="Heading5"/>
    <w:uiPriority w:val="9"/>
    <w:rsid w:val="00561060"/>
    <w:rPr>
      <w:rFonts w:ascii="B Zar" w:eastAsia="Times New Roman" w:hAnsi="B Zar" w:cs="B Zar"/>
      <w:color w:val="6A813B"/>
      <w:kern w:val="22"/>
      <w:lang w:val="en-US" w:bidi="fa-IR"/>
    </w:rPr>
  </w:style>
  <w:style w:type="character" w:customStyle="1" w:styleId="Heading6Char">
    <w:name w:val="Heading 6 Char"/>
    <w:basedOn w:val="DefaultParagraphFont"/>
    <w:link w:val="Heading6"/>
    <w:uiPriority w:val="9"/>
    <w:rsid w:val="00561060"/>
    <w:rPr>
      <w:rFonts w:ascii="Cambria" w:eastAsia="Times New Roman" w:hAnsi="Cambria" w:cs="Times New Roman"/>
      <w:i/>
      <w:iCs/>
      <w:color w:val="243F60"/>
      <w:kern w:val="22"/>
      <w:lang w:val="en-US" w:bidi="fa-IR"/>
    </w:rPr>
  </w:style>
  <w:style w:type="character" w:customStyle="1" w:styleId="Heading7Char">
    <w:name w:val="Heading 7 Char"/>
    <w:basedOn w:val="DefaultParagraphFont"/>
    <w:link w:val="Heading7"/>
    <w:uiPriority w:val="9"/>
    <w:rsid w:val="00561060"/>
    <w:rPr>
      <w:rFonts w:ascii="Cambria" w:eastAsia="Times New Roman" w:hAnsi="Cambria" w:cs="Times New Roman"/>
      <w:i/>
      <w:iCs/>
      <w:color w:val="404040"/>
      <w:kern w:val="22"/>
      <w:lang w:val="en-US" w:bidi="fa-IR"/>
    </w:rPr>
  </w:style>
  <w:style w:type="character" w:customStyle="1" w:styleId="Heading8Char">
    <w:name w:val="Heading 8 Char"/>
    <w:basedOn w:val="DefaultParagraphFont"/>
    <w:link w:val="Heading8"/>
    <w:uiPriority w:val="9"/>
    <w:rsid w:val="00561060"/>
    <w:rPr>
      <w:rFonts w:ascii="Cambria" w:eastAsia="Times New Roman" w:hAnsi="Cambria" w:cs="Times New Roman"/>
      <w:color w:val="404040"/>
      <w:kern w:val="22"/>
      <w:sz w:val="20"/>
      <w:szCs w:val="20"/>
      <w:lang w:val="en-US" w:bidi="fa-IR"/>
    </w:rPr>
  </w:style>
  <w:style w:type="character" w:customStyle="1" w:styleId="Heading9Char">
    <w:name w:val="Heading 9 Char"/>
    <w:basedOn w:val="DefaultParagraphFont"/>
    <w:link w:val="Heading9"/>
    <w:uiPriority w:val="9"/>
    <w:rsid w:val="00561060"/>
    <w:rPr>
      <w:rFonts w:ascii="Cambria" w:eastAsia="Times New Roman" w:hAnsi="Cambria" w:cs="Times New Roman"/>
      <w:i/>
      <w:iCs/>
      <w:color w:val="404040"/>
      <w:kern w:val="22"/>
      <w:sz w:val="20"/>
      <w:szCs w:val="20"/>
      <w:lang w:val="en-US" w:bidi="fa-IR"/>
    </w:rPr>
  </w:style>
  <w:style w:type="paragraph" w:styleId="Header">
    <w:name w:val="header"/>
    <w:basedOn w:val="Normal"/>
    <w:link w:val="HeaderChar"/>
    <w:uiPriority w:val="99"/>
    <w:unhideWhenUsed/>
    <w:rsid w:val="00B13461"/>
    <w:pPr>
      <w:tabs>
        <w:tab w:val="center" w:pos="4513"/>
        <w:tab w:val="right" w:pos="9026"/>
      </w:tabs>
    </w:pPr>
  </w:style>
  <w:style w:type="character" w:customStyle="1" w:styleId="HeaderChar">
    <w:name w:val="Header Char"/>
    <w:basedOn w:val="DefaultParagraphFont"/>
    <w:link w:val="Header"/>
    <w:uiPriority w:val="99"/>
    <w:rsid w:val="00B13461"/>
    <w:rPr>
      <w:rFonts w:ascii="Calibri" w:eastAsia="Calibri" w:hAnsi="Calibri" w:cs="Arial"/>
      <w:sz w:val="20"/>
      <w:szCs w:val="20"/>
      <w:lang w:val="en-US"/>
    </w:rPr>
  </w:style>
  <w:style w:type="paragraph" w:styleId="Footer">
    <w:name w:val="footer"/>
    <w:basedOn w:val="Normal"/>
    <w:link w:val="FooterChar"/>
    <w:uiPriority w:val="99"/>
    <w:unhideWhenUsed/>
    <w:rsid w:val="00B13461"/>
    <w:pPr>
      <w:tabs>
        <w:tab w:val="center" w:pos="4513"/>
        <w:tab w:val="right" w:pos="9026"/>
      </w:tabs>
    </w:pPr>
  </w:style>
  <w:style w:type="character" w:customStyle="1" w:styleId="FooterChar">
    <w:name w:val="Footer Char"/>
    <w:basedOn w:val="DefaultParagraphFont"/>
    <w:link w:val="Footer"/>
    <w:uiPriority w:val="99"/>
    <w:rsid w:val="00B13461"/>
    <w:rPr>
      <w:rFonts w:ascii="Calibri" w:eastAsia="Calibri" w:hAnsi="Calibri" w:cs="Arial"/>
      <w:sz w:val="20"/>
      <w:szCs w:val="20"/>
      <w:lang w:val="en-US"/>
    </w:rPr>
  </w:style>
  <w:style w:type="paragraph" w:styleId="FootnoteText">
    <w:name w:val="footnote text"/>
    <w:basedOn w:val="Normal"/>
    <w:link w:val="FootnoteTextChar"/>
    <w:uiPriority w:val="99"/>
    <w:unhideWhenUsed/>
    <w:rsid w:val="00B13461"/>
    <w:rPr>
      <w:sz w:val="24"/>
      <w:szCs w:val="24"/>
    </w:rPr>
  </w:style>
  <w:style w:type="character" w:customStyle="1" w:styleId="FootnoteTextChar">
    <w:name w:val="Footnote Text Char"/>
    <w:basedOn w:val="DefaultParagraphFont"/>
    <w:link w:val="FootnoteText"/>
    <w:uiPriority w:val="99"/>
    <w:rsid w:val="00B13461"/>
    <w:rPr>
      <w:rFonts w:ascii="Calibri" w:eastAsia="Calibri" w:hAnsi="Calibri" w:cs="Arial"/>
      <w:sz w:val="24"/>
      <w:szCs w:val="24"/>
      <w:lang w:val="en-US"/>
    </w:rPr>
  </w:style>
  <w:style w:type="paragraph" w:styleId="Caption">
    <w:name w:val="caption"/>
    <w:basedOn w:val="Normal"/>
    <w:next w:val="Normal"/>
    <w:uiPriority w:val="35"/>
    <w:unhideWhenUsed/>
    <w:qFormat/>
    <w:rsid w:val="00B13461"/>
    <w:pPr>
      <w:bidi/>
      <w:spacing w:after="200"/>
      <w:jc w:val="lowKashida"/>
    </w:pPr>
    <w:rPr>
      <w:rFonts w:ascii="B Zar" w:hAnsi="B Zar" w:cs="B Zar"/>
      <w:b/>
      <w:bCs/>
      <w:color w:val="4472C4"/>
      <w:sz w:val="18"/>
      <w:szCs w:val="18"/>
      <w:lang w:bidi="fa-IR"/>
    </w:rPr>
  </w:style>
  <w:style w:type="paragraph" w:styleId="ListParagraph">
    <w:name w:val="List Paragraph"/>
    <w:basedOn w:val="Normal"/>
    <w:link w:val="ListParagraphChar"/>
    <w:uiPriority w:val="34"/>
    <w:qFormat/>
    <w:rsid w:val="000B1D49"/>
    <w:pPr>
      <w:ind w:left="720"/>
      <w:contextualSpacing/>
    </w:pPr>
  </w:style>
  <w:style w:type="character" w:customStyle="1" w:styleId="ListParagraphChar">
    <w:name w:val="List Paragraph Char"/>
    <w:link w:val="ListParagraph"/>
    <w:uiPriority w:val="34"/>
    <w:locked/>
    <w:rsid w:val="000B1D49"/>
    <w:rPr>
      <w:rFonts w:ascii="Calibri" w:eastAsia="Calibri" w:hAnsi="Calibri" w:cs="Arial"/>
      <w:sz w:val="20"/>
      <w:szCs w:val="20"/>
      <w:lang w:val="en-US"/>
    </w:rPr>
  </w:style>
  <w:style w:type="paragraph" w:styleId="Title">
    <w:name w:val="Title"/>
    <w:basedOn w:val="Normal"/>
    <w:next w:val="Normal"/>
    <w:link w:val="TitleChar"/>
    <w:uiPriority w:val="10"/>
    <w:qFormat/>
    <w:rsid w:val="00CD2886"/>
    <w:pPr>
      <w:bidi/>
      <w:jc w:val="lowKashida"/>
    </w:pPr>
    <w:rPr>
      <w:rFonts w:ascii="B Zar" w:eastAsia="Times New Roman" w:hAnsi="B Zar" w:cs="Times New Roman"/>
      <w:b/>
      <w:bCs/>
      <w:color w:val="727F72"/>
      <w:spacing w:val="-10"/>
      <w:kern w:val="28"/>
      <w:sz w:val="72"/>
      <w:szCs w:val="56"/>
      <w:lang w:bidi="fa-IR"/>
    </w:rPr>
  </w:style>
  <w:style w:type="character" w:customStyle="1" w:styleId="TitleChar">
    <w:name w:val="Title Char"/>
    <w:basedOn w:val="DefaultParagraphFont"/>
    <w:link w:val="Title"/>
    <w:uiPriority w:val="10"/>
    <w:rsid w:val="00CD2886"/>
    <w:rPr>
      <w:rFonts w:ascii="B Zar" w:eastAsia="Times New Roman" w:hAnsi="B Zar" w:cs="Times New Roman"/>
      <w:b/>
      <w:bCs/>
      <w:color w:val="727F72"/>
      <w:spacing w:val="-10"/>
      <w:kern w:val="28"/>
      <w:sz w:val="72"/>
      <w:szCs w:val="56"/>
      <w:lang w:val="en-US" w:bidi="fa-IR"/>
    </w:rPr>
  </w:style>
  <w:style w:type="table" w:styleId="TableGrid">
    <w:name w:val="Table Grid"/>
    <w:basedOn w:val="TableNormal"/>
    <w:uiPriority w:val="39"/>
    <w:rsid w:val="009349A1"/>
    <w:pPr>
      <w:spacing w:after="0" w:line="240" w:lineRule="auto"/>
    </w:pPr>
    <w:rPr>
      <w:rFonts w:ascii="Calibri" w:eastAsia="Calibri" w:hAnsi="Calibri" w:cs="Arial"/>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561060"/>
    <w:pPr>
      <w:bidi/>
      <w:spacing w:after="120" w:line="276" w:lineRule="auto"/>
      <w:ind w:left="360" w:hanging="360"/>
      <w:jc w:val="both"/>
    </w:pPr>
    <w:rPr>
      <w:rFonts w:ascii="B Zar" w:eastAsia="Times New Roman" w:hAnsi="B Zar" w:cs="B Zar"/>
      <w:color w:val="000000"/>
      <w:szCs w:val="22"/>
      <w:lang w:val="en-AU" w:eastAsia="en-AU" w:bidi="fa-IR"/>
    </w:rPr>
  </w:style>
  <w:style w:type="paragraph" w:customStyle="1" w:styleId="Dash">
    <w:name w:val="Dash"/>
    <w:basedOn w:val="Normal"/>
    <w:qFormat/>
    <w:rsid w:val="00561060"/>
    <w:pPr>
      <w:tabs>
        <w:tab w:val="left" w:pos="567"/>
        <w:tab w:val="num" w:pos="850"/>
      </w:tabs>
      <w:bidi/>
      <w:spacing w:after="240" w:line="260" w:lineRule="exact"/>
      <w:ind w:left="850" w:hanging="284"/>
      <w:jc w:val="both"/>
    </w:pPr>
    <w:rPr>
      <w:rFonts w:ascii="Book Antiqua" w:eastAsia="Times New Roman" w:hAnsi="Book Antiqua" w:cs="Times New Roman"/>
      <w:color w:val="000000"/>
      <w:lang w:val="en-AU" w:eastAsia="en-AU" w:bidi="fa-IR"/>
    </w:rPr>
  </w:style>
  <w:style w:type="paragraph" w:customStyle="1" w:styleId="TableBody">
    <w:name w:val="Table Body"/>
    <w:basedOn w:val="Normal"/>
    <w:qFormat/>
    <w:rsid w:val="00561060"/>
    <w:pPr>
      <w:bidi/>
      <w:jc w:val="lowKashida"/>
    </w:pPr>
    <w:rPr>
      <w:rFonts w:ascii="B Zar" w:hAnsi="B Zar" w:cs="B Zar"/>
      <w:color w:val="000000"/>
      <w:kern w:val="21"/>
      <w:sz w:val="16"/>
      <w:szCs w:val="16"/>
      <w:lang w:bidi="fa-IR"/>
    </w:rPr>
  </w:style>
  <w:style w:type="paragraph" w:customStyle="1" w:styleId="TableHeading">
    <w:name w:val="Table Heading"/>
    <w:basedOn w:val="Normal"/>
    <w:uiPriority w:val="1"/>
    <w:qFormat/>
    <w:rsid w:val="00561060"/>
    <w:pPr>
      <w:widowControl w:val="0"/>
      <w:autoSpaceDE w:val="0"/>
      <w:autoSpaceDN w:val="0"/>
      <w:bidi/>
      <w:spacing w:after="60"/>
      <w:jc w:val="right"/>
    </w:pPr>
    <w:rPr>
      <w:rFonts w:ascii="B Zar" w:eastAsia="Arial" w:hAnsi="B Zar" w:cs="B Zar"/>
      <w:b/>
      <w:bCs/>
      <w:color w:val="000000"/>
      <w:sz w:val="18"/>
      <w:szCs w:val="18"/>
      <w:lang w:bidi="fa-IR"/>
    </w:rPr>
  </w:style>
  <w:style w:type="paragraph" w:styleId="Subtitle">
    <w:name w:val="Subtitle"/>
    <w:basedOn w:val="Normal"/>
    <w:next w:val="Normal"/>
    <w:link w:val="SubtitleChar"/>
    <w:uiPriority w:val="11"/>
    <w:qFormat/>
    <w:rsid w:val="00561060"/>
    <w:pPr>
      <w:numPr>
        <w:ilvl w:val="1"/>
      </w:numPr>
      <w:bidi/>
      <w:spacing w:line="276" w:lineRule="auto"/>
      <w:jc w:val="lowKashida"/>
    </w:pPr>
    <w:rPr>
      <w:rFonts w:ascii="B Zar" w:eastAsia="Times New Roman" w:hAnsi="B Zar" w:cs="B Zar"/>
      <w:color w:val="000000"/>
      <w:spacing w:val="15"/>
      <w:szCs w:val="22"/>
      <w:lang w:bidi="fa-IR"/>
    </w:rPr>
  </w:style>
  <w:style w:type="character" w:customStyle="1" w:styleId="SubtitleChar">
    <w:name w:val="Subtitle Char"/>
    <w:basedOn w:val="DefaultParagraphFont"/>
    <w:link w:val="Subtitle"/>
    <w:uiPriority w:val="11"/>
    <w:rsid w:val="00561060"/>
    <w:rPr>
      <w:rFonts w:ascii="B Zar" w:eastAsia="Times New Roman" w:hAnsi="B Zar" w:cs="B Zar"/>
      <w:color w:val="000000"/>
      <w:spacing w:val="15"/>
      <w:kern w:val="22"/>
      <w:lang w:val="en-US" w:bidi="fa-IR"/>
    </w:rPr>
  </w:style>
  <w:style w:type="paragraph" w:styleId="NoSpacing">
    <w:name w:val="No Spacing"/>
    <w:uiPriority w:val="1"/>
    <w:qFormat/>
    <w:rsid w:val="00561060"/>
    <w:pPr>
      <w:bidi/>
      <w:spacing w:after="0" w:line="240" w:lineRule="auto"/>
      <w:contextualSpacing/>
      <w:jc w:val="lowKashida"/>
    </w:pPr>
    <w:rPr>
      <w:rFonts w:ascii="B Zar" w:eastAsia="Calibri" w:hAnsi="B Zar" w:cs="B Zar"/>
      <w:color w:val="000000"/>
      <w:kern w:val="22"/>
      <w:lang w:val="en-US" w:bidi="fa-IR"/>
    </w:rPr>
  </w:style>
  <w:style w:type="paragraph" w:styleId="TOCHeading">
    <w:name w:val="TOC Heading"/>
    <w:basedOn w:val="Heading1"/>
    <w:next w:val="Normal"/>
    <w:uiPriority w:val="39"/>
    <w:unhideWhenUsed/>
    <w:qFormat/>
    <w:rsid w:val="00561060"/>
    <w:pPr>
      <w:bidi/>
      <w:spacing w:after="180" w:line="276" w:lineRule="auto"/>
      <w:jc w:val="lowKashida"/>
      <w:outlineLvl w:val="9"/>
    </w:pPr>
    <w:rPr>
      <w:rFonts w:ascii="Calibri" w:eastAsia="Times New Roman" w:hAnsi="Calibri" w:cs="Bahij Zar"/>
      <w:sz w:val="40"/>
      <w:szCs w:val="40"/>
      <w:lang w:bidi="fa-IR"/>
    </w:rPr>
  </w:style>
  <w:style w:type="paragraph" w:customStyle="1" w:styleId="DoubleDot">
    <w:name w:val="Double Dot"/>
    <w:basedOn w:val="Normal"/>
    <w:rsid w:val="00561060"/>
    <w:pPr>
      <w:tabs>
        <w:tab w:val="num" w:pos="360"/>
        <w:tab w:val="left" w:pos="851"/>
        <w:tab w:val="num" w:pos="1133"/>
      </w:tabs>
      <w:bidi/>
      <w:spacing w:after="240" w:line="260" w:lineRule="exact"/>
      <w:ind w:left="1133" w:hanging="283"/>
      <w:jc w:val="both"/>
    </w:pPr>
    <w:rPr>
      <w:rFonts w:ascii="Book Antiqua" w:eastAsia="Times New Roman" w:hAnsi="Book Antiqua" w:cs="Times New Roman"/>
      <w:color w:val="000000"/>
      <w:lang w:val="en-AU" w:eastAsia="en-AU" w:bidi="fa-IR"/>
    </w:rPr>
  </w:style>
  <w:style w:type="character" w:customStyle="1" w:styleId="CommentTextChar">
    <w:name w:val="Comment Text Char"/>
    <w:link w:val="CommentText"/>
    <w:uiPriority w:val="99"/>
    <w:semiHidden/>
    <w:rsid w:val="00561060"/>
    <w:rPr>
      <w:rFonts w:ascii="B Zar" w:hAnsi="B Zar" w:cs="B Zar"/>
      <w:color w:val="000000"/>
      <w:kern w:val="22"/>
      <w:lang w:val="en-US" w:bidi="fa-IR"/>
    </w:rPr>
  </w:style>
  <w:style w:type="paragraph" w:styleId="CommentText">
    <w:name w:val="annotation text"/>
    <w:basedOn w:val="Normal"/>
    <w:link w:val="CommentTextChar"/>
    <w:uiPriority w:val="99"/>
    <w:semiHidden/>
    <w:unhideWhenUsed/>
    <w:rsid w:val="00561060"/>
    <w:pPr>
      <w:bidi/>
      <w:spacing w:after="180"/>
      <w:jc w:val="lowKashida"/>
    </w:pPr>
    <w:rPr>
      <w:rFonts w:ascii="B Zar" w:eastAsiaTheme="minorHAnsi" w:hAnsi="B Zar" w:cs="B Zar"/>
      <w:color w:val="000000"/>
      <w:szCs w:val="22"/>
      <w:lang w:bidi="fa-IR"/>
    </w:rPr>
  </w:style>
  <w:style w:type="character" w:customStyle="1" w:styleId="CommentTextChar1">
    <w:name w:val="Comment Text Char1"/>
    <w:basedOn w:val="DefaultParagraphFont"/>
    <w:uiPriority w:val="99"/>
    <w:semiHidden/>
    <w:rsid w:val="00561060"/>
    <w:rPr>
      <w:rFonts w:ascii="Calibri" w:eastAsia="Calibri" w:hAnsi="Calibri" w:cs="Arial"/>
      <w:sz w:val="20"/>
      <w:szCs w:val="20"/>
      <w:lang w:val="en-US"/>
    </w:rPr>
  </w:style>
  <w:style w:type="character" w:customStyle="1" w:styleId="BalloonTextChar">
    <w:name w:val="Balloon Text Char"/>
    <w:link w:val="BalloonText"/>
    <w:uiPriority w:val="99"/>
    <w:semiHidden/>
    <w:rsid w:val="00561060"/>
    <w:rPr>
      <w:rFonts w:ascii="Segoe UI" w:hAnsi="Segoe UI" w:cs="Segoe UI"/>
      <w:color w:val="000000"/>
      <w:kern w:val="22"/>
      <w:sz w:val="18"/>
      <w:szCs w:val="18"/>
      <w:lang w:val="en-US" w:bidi="fa-IR"/>
    </w:rPr>
  </w:style>
  <w:style w:type="paragraph" w:styleId="BalloonText">
    <w:name w:val="Balloon Text"/>
    <w:basedOn w:val="Normal"/>
    <w:link w:val="BalloonTextChar"/>
    <w:uiPriority w:val="99"/>
    <w:semiHidden/>
    <w:unhideWhenUsed/>
    <w:rsid w:val="00561060"/>
    <w:pPr>
      <w:bidi/>
      <w:jc w:val="lowKashida"/>
    </w:pPr>
    <w:rPr>
      <w:rFonts w:ascii="Segoe UI" w:eastAsiaTheme="minorHAnsi" w:hAnsi="Segoe UI" w:cs="Segoe UI"/>
      <w:color w:val="000000"/>
      <w:sz w:val="18"/>
      <w:szCs w:val="18"/>
      <w:lang w:bidi="fa-IR"/>
    </w:rPr>
  </w:style>
  <w:style w:type="character" w:customStyle="1" w:styleId="BalloonTextChar1">
    <w:name w:val="Balloon Text Char1"/>
    <w:basedOn w:val="DefaultParagraphFont"/>
    <w:uiPriority w:val="99"/>
    <w:semiHidden/>
    <w:rsid w:val="00561060"/>
    <w:rPr>
      <w:rFonts w:ascii="Segoe UI" w:eastAsia="Calibri" w:hAnsi="Segoe UI" w:cs="Segoe UI"/>
      <w:sz w:val="18"/>
      <w:szCs w:val="18"/>
      <w:lang w:val="en-US"/>
    </w:rPr>
  </w:style>
  <w:style w:type="paragraph" w:styleId="TOC1">
    <w:name w:val="toc 1"/>
    <w:basedOn w:val="Normal"/>
    <w:next w:val="Normal"/>
    <w:autoRedefine/>
    <w:uiPriority w:val="39"/>
    <w:unhideWhenUsed/>
    <w:rsid w:val="00561060"/>
    <w:pPr>
      <w:tabs>
        <w:tab w:val="right" w:leader="dot" w:pos="8296"/>
      </w:tabs>
      <w:bidi/>
      <w:spacing w:line="276" w:lineRule="auto"/>
      <w:jc w:val="both"/>
    </w:pPr>
    <w:rPr>
      <w:rFonts w:ascii="B Zar" w:hAnsi="B Zar" w:cs="B Zar"/>
      <w:color w:val="000000"/>
      <w:szCs w:val="22"/>
      <w:lang w:bidi="fa-IR"/>
    </w:rPr>
  </w:style>
  <w:style w:type="paragraph" w:styleId="TOC2">
    <w:name w:val="toc 2"/>
    <w:basedOn w:val="Normal"/>
    <w:next w:val="Normal"/>
    <w:autoRedefine/>
    <w:uiPriority w:val="39"/>
    <w:unhideWhenUsed/>
    <w:rsid w:val="00561060"/>
    <w:pPr>
      <w:bidi/>
      <w:spacing w:line="276" w:lineRule="auto"/>
      <w:ind w:left="220"/>
      <w:jc w:val="lowKashida"/>
    </w:pPr>
    <w:rPr>
      <w:rFonts w:ascii="B Zar" w:hAnsi="B Zar" w:cs="B Zar"/>
      <w:color w:val="000000"/>
      <w:szCs w:val="22"/>
      <w:lang w:bidi="fa-IR"/>
    </w:rPr>
  </w:style>
  <w:style w:type="paragraph" w:styleId="TOC3">
    <w:name w:val="toc 3"/>
    <w:basedOn w:val="Normal"/>
    <w:next w:val="Normal"/>
    <w:autoRedefine/>
    <w:uiPriority w:val="39"/>
    <w:unhideWhenUsed/>
    <w:rsid w:val="00561060"/>
    <w:pPr>
      <w:bidi/>
      <w:spacing w:line="276" w:lineRule="auto"/>
      <w:ind w:left="440"/>
      <w:jc w:val="lowKashida"/>
    </w:pPr>
    <w:rPr>
      <w:rFonts w:ascii="B Zar" w:hAnsi="B Zar" w:cs="B Zar"/>
      <w:color w:val="000000"/>
      <w:szCs w:val="22"/>
      <w:lang w:bidi="fa-IR"/>
    </w:rPr>
  </w:style>
  <w:style w:type="character" w:styleId="Hyperlink">
    <w:name w:val="Hyperlink"/>
    <w:uiPriority w:val="99"/>
    <w:unhideWhenUsed/>
    <w:rsid w:val="00561060"/>
    <w:rPr>
      <w:color w:val="0563C1"/>
      <w:u w:val="single"/>
    </w:rPr>
  </w:style>
  <w:style w:type="character" w:customStyle="1" w:styleId="CommentSubjectChar">
    <w:name w:val="Comment Subject Char"/>
    <w:link w:val="CommentSubject"/>
    <w:uiPriority w:val="99"/>
    <w:semiHidden/>
    <w:rsid w:val="00561060"/>
    <w:rPr>
      <w:rFonts w:ascii="B Zar" w:hAnsi="B Zar" w:cs="B Zar"/>
      <w:b/>
      <w:bCs/>
      <w:color w:val="000000"/>
      <w:kern w:val="22"/>
      <w:lang w:val="en-US" w:bidi="fa-IR"/>
    </w:rPr>
  </w:style>
  <w:style w:type="paragraph" w:styleId="CommentSubject">
    <w:name w:val="annotation subject"/>
    <w:basedOn w:val="CommentText"/>
    <w:next w:val="CommentText"/>
    <w:link w:val="CommentSubjectChar"/>
    <w:uiPriority w:val="99"/>
    <w:semiHidden/>
    <w:unhideWhenUsed/>
    <w:rsid w:val="00561060"/>
    <w:rPr>
      <w:b/>
      <w:bCs/>
    </w:rPr>
  </w:style>
  <w:style w:type="character" w:customStyle="1" w:styleId="CommentSubjectChar1">
    <w:name w:val="Comment Subject Char1"/>
    <w:basedOn w:val="CommentTextChar1"/>
    <w:uiPriority w:val="99"/>
    <w:semiHidden/>
    <w:rsid w:val="00561060"/>
    <w:rPr>
      <w:rFonts w:ascii="Calibri" w:eastAsia="Calibri" w:hAnsi="Calibri" w:cs="Arial"/>
      <w:b/>
      <w:bCs/>
      <w:sz w:val="20"/>
      <w:szCs w:val="20"/>
      <w:lang w:val="en-US"/>
    </w:rPr>
  </w:style>
  <w:style w:type="paragraph" w:styleId="ListNumber2">
    <w:name w:val="List Number 2"/>
    <w:basedOn w:val="Normal"/>
    <w:uiPriority w:val="99"/>
    <w:unhideWhenUsed/>
    <w:rsid w:val="00561060"/>
    <w:pPr>
      <w:numPr>
        <w:numId w:val="14"/>
      </w:numPr>
      <w:bidi/>
      <w:spacing w:after="180" w:line="276" w:lineRule="auto"/>
      <w:jc w:val="lowKashida"/>
    </w:pPr>
    <w:rPr>
      <w:rFonts w:cs="B Zar"/>
      <w:color w:val="000000"/>
      <w:kern w:val="21"/>
      <w:szCs w:val="22"/>
      <w:lang w:bidi="fa-IR"/>
    </w:rPr>
  </w:style>
  <w:style w:type="character" w:customStyle="1" w:styleId="yiv0035490988">
    <w:name w:val="yiv0035490988"/>
    <w:rsid w:val="00561060"/>
  </w:style>
  <w:style w:type="table" w:styleId="LightShading-Accent1">
    <w:name w:val="Light Shading Accent 1"/>
    <w:basedOn w:val="TableNormal"/>
    <w:uiPriority w:val="60"/>
    <w:rsid w:val="00561060"/>
    <w:pPr>
      <w:numPr>
        <w:numId w:val="34"/>
      </w:numPr>
      <w:tabs>
        <w:tab w:val="num" w:pos="720"/>
      </w:tabs>
      <w:spacing w:after="0" w:line="240" w:lineRule="auto"/>
      <w:ind w:left="720" w:hanging="720"/>
    </w:pPr>
    <w:rPr>
      <w:rFonts w:ascii="Calibri" w:eastAsia="Calibri" w:hAnsi="Calibri" w:cs="Arial"/>
      <w:color w:val="365F91"/>
      <w:sz w:val="24"/>
      <w:szCs w:val="24"/>
      <w:lang w:val="en-US"/>
    </w:rPr>
    <w:tblPr>
      <w:tblStyleRowBandSize w:val="1"/>
      <w:tblStyleColBandSize w:val="1"/>
      <w:tblBorders>
        <w:top w:val="single" w:sz="8" w:space="0" w:color="4F81BD"/>
        <w:bottom w:val="single" w:sz="8" w:space="0" w:color="4F81BD"/>
      </w:tblBorders>
    </w:tblPr>
    <w:tblStylePr w:type="firstRow">
      <w:rPr>
        <w:b/>
        <w:bCs/>
      </w:rPr>
      <w:tblPr/>
      <w:tcPr>
        <w:tcBorders>
          <w:top w:val="single" w:sz="8" w:space="0" w:color="4F81BD"/>
          <w:left w:val="nil"/>
          <w:bottom w:val="single" w:sz="8" w:space="0" w:color="4F81BD"/>
          <w:right w:val="nil"/>
          <w:insideH w:val="nil"/>
          <w:insideV w:val="nil"/>
        </w:tcBorders>
      </w:tcPr>
    </w:tblStylePr>
    <w:tblStylePr w:type="lastRow">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link w:val="HTMLPreformattedChar"/>
    <w:uiPriority w:val="99"/>
    <w:unhideWhenUsed/>
    <w:rsid w:val="0056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561060"/>
    <w:rPr>
      <w:rFonts w:ascii="Courier New" w:eastAsia="Times New Roman" w:hAnsi="Courier New" w:cs="Courier New"/>
      <w:sz w:val="20"/>
      <w:szCs w:val="20"/>
      <w:lang w:val="en-US"/>
    </w:rPr>
  </w:style>
  <w:style w:type="character" w:styleId="FootnoteReference">
    <w:name w:val="footnote reference"/>
    <w:uiPriority w:val="99"/>
    <w:unhideWhenUsed/>
    <w:rsid w:val="00561060"/>
    <w:rPr>
      <w:vertAlign w:val="superscript"/>
    </w:rPr>
  </w:style>
  <w:style w:type="paragraph" w:customStyle="1" w:styleId="Default">
    <w:name w:val="Default"/>
    <w:rsid w:val="00561060"/>
    <w:pPr>
      <w:autoSpaceDE w:val="0"/>
      <w:autoSpaceDN w:val="0"/>
      <w:adjustRightInd w:val="0"/>
      <w:spacing w:after="0" w:line="240" w:lineRule="auto"/>
    </w:pPr>
    <w:rPr>
      <w:rFonts w:ascii="Calibri" w:eastAsia="Calibri" w:hAnsi="Calibri" w:cs="Calibri"/>
      <w:color w:val="000000"/>
      <w:sz w:val="24"/>
      <w:szCs w:val="24"/>
      <w:lang w:val="en-US"/>
    </w:rPr>
  </w:style>
  <w:style w:type="paragraph" w:customStyle="1" w:styleId="msonormal0">
    <w:name w:val="msonormal"/>
    <w:basedOn w:val="Normal"/>
    <w:rsid w:val="00561060"/>
    <w:pPr>
      <w:spacing w:before="100" w:beforeAutospacing="1" w:afterAutospacing="1"/>
    </w:pPr>
    <w:rPr>
      <w:rFonts w:ascii="Times New Roman" w:eastAsia="Times New Roman" w:hAnsi="Times New Roman" w:cs="Times New Roman"/>
      <w:sz w:val="24"/>
      <w:szCs w:val="24"/>
    </w:rPr>
  </w:style>
  <w:style w:type="paragraph" w:customStyle="1" w:styleId="xl67">
    <w:name w:val="xl67"/>
    <w:basedOn w:val="Normal"/>
    <w:rsid w:val="00561060"/>
    <w:pPr>
      <w:spacing w:before="100" w:beforeAutospacing="1" w:afterAutospacing="1"/>
    </w:pPr>
    <w:rPr>
      <w:rFonts w:ascii="Arial" w:eastAsia="Times New Roman" w:hAnsi="Arial"/>
      <w:sz w:val="18"/>
      <w:szCs w:val="18"/>
    </w:rPr>
  </w:style>
  <w:style w:type="paragraph" w:customStyle="1" w:styleId="xl68">
    <w:name w:val="xl68"/>
    <w:basedOn w:val="Normal"/>
    <w:rsid w:val="00561060"/>
    <w:pPr>
      <w:spacing w:before="100" w:beforeAutospacing="1" w:afterAutospacing="1"/>
    </w:pPr>
    <w:rPr>
      <w:rFonts w:ascii="Arial" w:eastAsia="Times New Roman" w:hAnsi="Arial"/>
      <w:sz w:val="16"/>
      <w:szCs w:val="16"/>
    </w:rPr>
  </w:style>
  <w:style w:type="paragraph" w:customStyle="1" w:styleId="xl69">
    <w:name w:val="xl69"/>
    <w:basedOn w:val="Normal"/>
    <w:rsid w:val="00561060"/>
    <w:pPr>
      <w:spacing w:before="100" w:beforeAutospacing="1" w:afterAutospacing="1"/>
    </w:pPr>
    <w:rPr>
      <w:rFonts w:eastAsia="Times New Roman" w:cs="Times New Roman"/>
      <w:sz w:val="16"/>
      <w:szCs w:val="16"/>
    </w:rPr>
  </w:style>
  <w:style w:type="paragraph" w:customStyle="1" w:styleId="xl70">
    <w:name w:val="xl70"/>
    <w:basedOn w:val="Normal"/>
    <w:rsid w:val="00561060"/>
    <w:pPr>
      <w:pBdr>
        <w:top w:val="single" w:sz="4" w:space="0" w:color="auto"/>
        <w:left w:val="single" w:sz="4" w:space="0" w:color="auto"/>
        <w:bottom w:val="single" w:sz="4" w:space="0" w:color="auto"/>
        <w:right w:val="single" w:sz="4" w:space="0" w:color="auto"/>
      </w:pBdr>
      <w:shd w:val="clear" w:color="000000" w:fill="D9D9D9"/>
      <w:spacing w:before="100" w:beforeAutospacing="1" w:afterAutospacing="1"/>
      <w:jc w:val="right"/>
      <w:textAlignment w:val="center"/>
    </w:pPr>
    <w:rPr>
      <w:rFonts w:eastAsia="Times New Roman" w:cs="Times New Roman"/>
      <w:b/>
      <w:bCs/>
      <w:color w:val="000000"/>
      <w:sz w:val="16"/>
      <w:szCs w:val="16"/>
    </w:rPr>
  </w:style>
  <w:style w:type="paragraph" w:customStyle="1" w:styleId="xl71">
    <w:name w:val="xl71"/>
    <w:basedOn w:val="Normal"/>
    <w:rsid w:val="00561060"/>
    <w:pPr>
      <w:pBdr>
        <w:top w:val="single" w:sz="4" w:space="0" w:color="auto"/>
        <w:left w:val="single" w:sz="4" w:space="0" w:color="auto"/>
        <w:bottom w:val="single" w:sz="4" w:space="0" w:color="auto"/>
        <w:right w:val="single" w:sz="4" w:space="0" w:color="auto"/>
      </w:pBdr>
      <w:shd w:val="clear" w:color="000000" w:fill="D9D9D9"/>
      <w:spacing w:before="100" w:beforeAutospacing="1" w:afterAutospacing="1"/>
      <w:jc w:val="right"/>
      <w:textAlignment w:val="center"/>
    </w:pPr>
    <w:rPr>
      <w:rFonts w:eastAsia="Times New Roman" w:cs="Times New Roman"/>
      <w:b/>
      <w:bCs/>
      <w:color w:val="000000"/>
      <w:sz w:val="16"/>
      <w:szCs w:val="16"/>
    </w:rPr>
  </w:style>
  <w:style w:type="paragraph" w:customStyle="1" w:styleId="xl72">
    <w:name w:val="xl72"/>
    <w:basedOn w:val="Normal"/>
    <w:rsid w:val="00561060"/>
    <w:pPr>
      <w:pBdr>
        <w:top w:val="single" w:sz="4" w:space="0" w:color="auto"/>
        <w:bottom w:val="single" w:sz="4" w:space="0" w:color="auto"/>
        <w:right w:val="single" w:sz="4" w:space="0" w:color="auto"/>
      </w:pBdr>
      <w:shd w:val="clear" w:color="000000" w:fill="D9D9D9"/>
      <w:spacing w:before="100" w:beforeAutospacing="1" w:afterAutospacing="1"/>
      <w:jc w:val="right"/>
      <w:textAlignment w:val="center"/>
    </w:pPr>
    <w:rPr>
      <w:rFonts w:eastAsia="Times New Roman" w:cs="Times New Roman"/>
      <w:b/>
      <w:bCs/>
      <w:color w:val="000000"/>
      <w:sz w:val="16"/>
      <w:szCs w:val="16"/>
    </w:rPr>
  </w:style>
  <w:style w:type="paragraph" w:customStyle="1" w:styleId="xl73">
    <w:name w:val="xl73"/>
    <w:basedOn w:val="Normal"/>
    <w:rsid w:val="00561060"/>
    <w:pPr>
      <w:shd w:val="clear" w:color="000000" w:fill="D9D9D9"/>
      <w:spacing w:before="100" w:beforeAutospacing="1" w:afterAutospacing="1"/>
    </w:pPr>
    <w:rPr>
      <w:rFonts w:eastAsia="Times New Roman" w:cs="Times New Roman"/>
      <w:b/>
      <w:bCs/>
      <w:sz w:val="16"/>
      <w:szCs w:val="16"/>
    </w:rPr>
  </w:style>
  <w:style w:type="paragraph" w:customStyle="1" w:styleId="xl74">
    <w:name w:val="xl74"/>
    <w:basedOn w:val="Normal"/>
    <w:rsid w:val="00561060"/>
    <w:pPr>
      <w:pBdr>
        <w:top w:val="single" w:sz="4" w:space="0" w:color="auto"/>
        <w:left w:val="single" w:sz="4" w:space="0" w:color="auto"/>
        <w:bottom w:val="single" w:sz="4" w:space="0" w:color="auto"/>
        <w:right w:val="single" w:sz="4" w:space="0" w:color="auto"/>
      </w:pBdr>
      <w:shd w:val="clear" w:color="000000" w:fill="D9D9D9"/>
      <w:spacing w:before="100" w:beforeAutospacing="1" w:afterAutospacing="1"/>
      <w:jc w:val="right"/>
      <w:textAlignment w:val="center"/>
    </w:pPr>
    <w:rPr>
      <w:rFonts w:ascii="Times New Roman" w:eastAsia="Times New Roman" w:hAnsi="Times New Roman" w:cs="Times New Roman"/>
      <w:b/>
      <w:bCs/>
      <w:color w:val="000000"/>
      <w:sz w:val="16"/>
      <w:szCs w:val="16"/>
    </w:rPr>
  </w:style>
  <w:style w:type="paragraph" w:customStyle="1" w:styleId="xl75">
    <w:name w:val="xl75"/>
    <w:basedOn w:val="Normal"/>
    <w:rsid w:val="00561060"/>
    <w:pPr>
      <w:spacing w:before="100" w:beforeAutospacing="1" w:afterAutospacing="1"/>
      <w:jc w:val="right"/>
    </w:pPr>
    <w:rPr>
      <w:rFonts w:ascii="Arial" w:eastAsia="Times New Roman" w:hAnsi="Arial"/>
      <w:sz w:val="18"/>
      <w:szCs w:val="18"/>
    </w:rPr>
  </w:style>
  <w:style w:type="paragraph" w:customStyle="1" w:styleId="xl76">
    <w:name w:val="xl76"/>
    <w:basedOn w:val="Normal"/>
    <w:rsid w:val="00561060"/>
    <w:pPr>
      <w:pBdr>
        <w:top w:val="single" w:sz="4" w:space="0" w:color="auto"/>
        <w:left w:val="single" w:sz="4" w:space="0" w:color="auto"/>
        <w:bottom w:val="single" w:sz="4" w:space="0" w:color="auto"/>
        <w:right w:val="single" w:sz="4" w:space="0" w:color="auto"/>
      </w:pBdr>
      <w:shd w:val="clear" w:color="000000" w:fill="D9D9D9"/>
      <w:spacing w:before="100" w:beforeAutospacing="1" w:afterAutospacing="1"/>
      <w:jc w:val="right"/>
    </w:pPr>
    <w:rPr>
      <w:rFonts w:eastAsia="Times New Roman" w:cs="Times New Roman"/>
      <w:sz w:val="16"/>
      <w:szCs w:val="16"/>
    </w:rPr>
  </w:style>
  <w:style w:type="paragraph" w:customStyle="1" w:styleId="xl77">
    <w:name w:val="xl77"/>
    <w:basedOn w:val="Normal"/>
    <w:rsid w:val="00561060"/>
    <w:pPr>
      <w:pBdr>
        <w:top w:val="single" w:sz="4" w:space="0" w:color="auto"/>
        <w:left w:val="single" w:sz="4" w:space="0" w:color="auto"/>
        <w:bottom w:val="single" w:sz="4" w:space="0" w:color="auto"/>
        <w:right w:val="single" w:sz="4" w:space="0" w:color="auto"/>
      </w:pBdr>
      <w:spacing w:before="100" w:beforeAutospacing="1" w:afterAutospacing="1"/>
      <w:jc w:val="right"/>
      <w:textAlignment w:val="center"/>
    </w:pPr>
    <w:rPr>
      <w:rFonts w:eastAsia="Times New Roman" w:cs="Times New Roman"/>
      <w:color w:val="000000"/>
      <w:sz w:val="16"/>
      <w:szCs w:val="16"/>
    </w:rPr>
  </w:style>
  <w:style w:type="paragraph" w:customStyle="1" w:styleId="xl78">
    <w:name w:val="xl78"/>
    <w:basedOn w:val="Normal"/>
    <w:rsid w:val="00561060"/>
    <w:pPr>
      <w:pBdr>
        <w:top w:val="single" w:sz="4" w:space="0" w:color="auto"/>
        <w:left w:val="single" w:sz="4" w:space="0" w:color="auto"/>
        <w:bottom w:val="single" w:sz="4" w:space="0" w:color="auto"/>
        <w:right w:val="single" w:sz="4" w:space="0" w:color="auto"/>
      </w:pBdr>
      <w:spacing w:before="100" w:beforeAutospacing="1" w:afterAutospacing="1"/>
      <w:jc w:val="right"/>
    </w:pPr>
    <w:rPr>
      <w:rFonts w:eastAsia="Times New Roman" w:cs="Times New Roman"/>
      <w:sz w:val="16"/>
      <w:szCs w:val="16"/>
    </w:rPr>
  </w:style>
  <w:style w:type="paragraph" w:customStyle="1" w:styleId="xl79">
    <w:name w:val="xl79"/>
    <w:basedOn w:val="Normal"/>
    <w:rsid w:val="00561060"/>
    <w:pPr>
      <w:pBdr>
        <w:top w:val="single" w:sz="4" w:space="0" w:color="auto"/>
        <w:left w:val="single" w:sz="4" w:space="0" w:color="auto"/>
        <w:bottom w:val="single" w:sz="4" w:space="0" w:color="auto"/>
        <w:right w:val="single" w:sz="4" w:space="0" w:color="auto"/>
      </w:pBdr>
      <w:spacing w:before="100" w:beforeAutospacing="1" w:afterAutospacing="1"/>
      <w:jc w:val="right"/>
    </w:pPr>
    <w:rPr>
      <w:rFonts w:eastAsia="Times New Roman" w:cs="Times New Roman"/>
      <w:sz w:val="16"/>
      <w:szCs w:val="16"/>
    </w:rPr>
  </w:style>
  <w:style w:type="paragraph" w:customStyle="1" w:styleId="xl80">
    <w:name w:val="xl80"/>
    <w:basedOn w:val="Normal"/>
    <w:rsid w:val="00561060"/>
    <w:pPr>
      <w:spacing w:before="100" w:beforeAutospacing="1" w:afterAutospacing="1"/>
      <w:jc w:val="right"/>
      <w:textAlignment w:val="center"/>
    </w:pPr>
    <w:rPr>
      <w:rFonts w:ascii="Arial" w:eastAsia="Times New Roman" w:hAnsi="Arial"/>
      <w:sz w:val="18"/>
      <w:szCs w:val="18"/>
    </w:rPr>
  </w:style>
  <w:style w:type="paragraph" w:customStyle="1" w:styleId="xl81">
    <w:name w:val="xl81"/>
    <w:basedOn w:val="Normal"/>
    <w:rsid w:val="00561060"/>
    <w:pPr>
      <w:pBdr>
        <w:top w:val="single" w:sz="4" w:space="0" w:color="auto"/>
        <w:bottom w:val="single" w:sz="4" w:space="0" w:color="auto"/>
        <w:right w:val="single" w:sz="4" w:space="0" w:color="auto"/>
      </w:pBdr>
      <w:spacing w:before="100" w:beforeAutospacing="1" w:afterAutospacing="1"/>
      <w:jc w:val="right"/>
      <w:textAlignment w:val="center"/>
    </w:pPr>
    <w:rPr>
      <w:rFonts w:eastAsia="Times New Roman" w:cs="Times New Roman"/>
      <w:sz w:val="16"/>
      <w:szCs w:val="16"/>
    </w:rPr>
  </w:style>
  <w:style w:type="paragraph" w:customStyle="1" w:styleId="xl82">
    <w:name w:val="xl82"/>
    <w:basedOn w:val="Normal"/>
    <w:rsid w:val="00561060"/>
    <w:pPr>
      <w:pBdr>
        <w:top w:val="single" w:sz="4" w:space="0" w:color="auto"/>
        <w:left w:val="single" w:sz="4" w:space="0" w:color="auto"/>
        <w:bottom w:val="single" w:sz="4" w:space="0" w:color="auto"/>
        <w:right w:val="single" w:sz="4" w:space="0" w:color="auto"/>
      </w:pBdr>
      <w:spacing w:before="100" w:beforeAutospacing="1" w:afterAutospacing="1"/>
    </w:pPr>
    <w:rPr>
      <w:rFonts w:eastAsia="Times New Roman" w:cs="Times New Roman"/>
      <w:sz w:val="16"/>
      <w:szCs w:val="16"/>
    </w:rPr>
  </w:style>
  <w:style w:type="paragraph" w:customStyle="1" w:styleId="xl83">
    <w:name w:val="xl83"/>
    <w:basedOn w:val="Normal"/>
    <w:rsid w:val="00561060"/>
    <w:pPr>
      <w:pBdr>
        <w:top w:val="single" w:sz="4" w:space="0" w:color="auto"/>
        <w:left w:val="single" w:sz="4" w:space="0" w:color="auto"/>
        <w:bottom w:val="single" w:sz="4" w:space="0" w:color="auto"/>
        <w:right w:val="single" w:sz="4" w:space="0" w:color="auto"/>
      </w:pBdr>
      <w:shd w:val="clear" w:color="000000" w:fill="D9D9D9"/>
      <w:spacing w:before="100" w:beforeAutospacing="1" w:afterAutospacing="1"/>
    </w:pPr>
    <w:rPr>
      <w:rFonts w:eastAsia="Times New Roman" w:cs="Times New Roman"/>
      <w:sz w:val="16"/>
      <w:szCs w:val="16"/>
    </w:rPr>
  </w:style>
  <w:style w:type="paragraph" w:customStyle="1" w:styleId="xl84">
    <w:name w:val="xl84"/>
    <w:basedOn w:val="Normal"/>
    <w:rsid w:val="00561060"/>
    <w:pPr>
      <w:pBdr>
        <w:top w:val="single" w:sz="4" w:space="0" w:color="auto"/>
        <w:left w:val="single" w:sz="4" w:space="0" w:color="auto"/>
        <w:bottom w:val="single" w:sz="4" w:space="0" w:color="auto"/>
        <w:right w:val="single" w:sz="4" w:space="0" w:color="auto"/>
      </w:pBdr>
      <w:shd w:val="clear" w:color="000000" w:fill="D0CECE"/>
      <w:spacing w:before="100" w:beforeAutospacing="1" w:afterAutospacing="1"/>
      <w:jc w:val="right"/>
      <w:textAlignment w:val="center"/>
    </w:pPr>
    <w:rPr>
      <w:rFonts w:ascii="Times New Roman" w:eastAsia="Times New Roman" w:hAnsi="Times New Roman" w:cs="Times New Roman"/>
      <w:b/>
      <w:bCs/>
      <w:sz w:val="16"/>
      <w:szCs w:val="16"/>
    </w:rPr>
  </w:style>
  <w:style w:type="paragraph" w:customStyle="1" w:styleId="xl85">
    <w:name w:val="xl85"/>
    <w:basedOn w:val="Normal"/>
    <w:rsid w:val="00561060"/>
    <w:pPr>
      <w:pBdr>
        <w:left w:val="single" w:sz="4" w:space="0" w:color="auto"/>
        <w:bottom w:val="single" w:sz="4" w:space="0" w:color="auto"/>
        <w:right w:val="single" w:sz="4" w:space="0" w:color="auto"/>
      </w:pBdr>
      <w:shd w:val="clear" w:color="000000" w:fill="D0CECE"/>
      <w:spacing w:before="100" w:beforeAutospacing="1" w:afterAutospacing="1"/>
      <w:jc w:val="right"/>
      <w:textAlignment w:val="center"/>
    </w:pPr>
    <w:rPr>
      <w:rFonts w:ascii="Times New Roman" w:eastAsia="Times New Roman" w:hAnsi="Times New Roman" w:cs="Times New Roman"/>
      <w:b/>
      <w:bCs/>
      <w:sz w:val="16"/>
      <w:szCs w:val="16"/>
    </w:rPr>
  </w:style>
  <w:style w:type="paragraph" w:customStyle="1" w:styleId="xl86">
    <w:name w:val="xl86"/>
    <w:basedOn w:val="Normal"/>
    <w:rsid w:val="00561060"/>
    <w:pPr>
      <w:spacing w:before="100" w:beforeAutospacing="1" w:afterAutospacing="1"/>
      <w:jc w:val="right"/>
    </w:pPr>
    <w:rPr>
      <w:rFonts w:ascii="Times New Roman" w:eastAsia="Times New Roman" w:hAnsi="Times New Roman" w:cs="Times New Roman"/>
      <w:sz w:val="24"/>
      <w:szCs w:val="24"/>
    </w:rPr>
  </w:style>
  <w:style w:type="paragraph" w:customStyle="1" w:styleId="xl87">
    <w:name w:val="xl87"/>
    <w:basedOn w:val="Normal"/>
    <w:rsid w:val="00561060"/>
    <w:pPr>
      <w:shd w:val="clear" w:color="000000" w:fill="B4C6E7"/>
      <w:spacing w:before="100" w:beforeAutospacing="1" w:afterAutospacing="1"/>
      <w:jc w:val="right"/>
    </w:pPr>
    <w:rPr>
      <w:rFonts w:ascii="Times New Roman" w:eastAsia="Times New Roman" w:hAnsi="Times New Roman" w:cs="Times New Roman"/>
      <w:sz w:val="24"/>
      <w:szCs w:val="24"/>
    </w:rPr>
  </w:style>
  <w:style w:type="paragraph" w:customStyle="1" w:styleId="xl88">
    <w:name w:val="xl88"/>
    <w:basedOn w:val="Normal"/>
    <w:rsid w:val="00561060"/>
    <w:pPr>
      <w:pBdr>
        <w:top w:val="single" w:sz="4" w:space="0" w:color="auto"/>
        <w:left w:val="single" w:sz="4" w:space="0" w:color="auto"/>
        <w:bottom w:val="single" w:sz="4" w:space="0" w:color="auto"/>
        <w:right w:val="single" w:sz="4" w:space="0" w:color="auto"/>
      </w:pBdr>
      <w:shd w:val="clear" w:color="000000" w:fill="D9D9D9"/>
      <w:spacing w:before="100" w:beforeAutospacing="1" w:afterAutospacing="1"/>
      <w:jc w:val="right"/>
      <w:textAlignment w:val="center"/>
    </w:pPr>
    <w:rPr>
      <w:rFonts w:ascii="Times New Roman" w:eastAsia="Times New Roman" w:hAnsi="Times New Roman" w:cs="Times New Roman"/>
      <w:b/>
      <w:bCs/>
      <w:sz w:val="16"/>
      <w:szCs w:val="16"/>
    </w:rPr>
  </w:style>
  <w:style w:type="paragraph" w:customStyle="1" w:styleId="xl89">
    <w:name w:val="xl89"/>
    <w:basedOn w:val="Normal"/>
    <w:rsid w:val="00561060"/>
    <w:pPr>
      <w:pBdr>
        <w:left w:val="single" w:sz="4" w:space="0" w:color="auto"/>
        <w:bottom w:val="single" w:sz="4" w:space="0" w:color="auto"/>
        <w:right w:val="single" w:sz="4" w:space="0" w:color="auto"/>
      </w:pBdr>
      <w:shd w:val="clear" w:color="000000" w:fill="D9D9D9"/>
      <w:spacing w:before="100" w:beforeAutospacing="1" w:afterAutospacing="1"/>
      <w:jc w:val="right"/>
      <w:textAlignment w:val="center"/>
    </w:pPr>
    <w:rPr>
      <w:rFonts w:ascii="Times New Roman" w:eastAsia="Times New Roman" w:hAnsi="Times New Roman" w:cs="Times New Roman"/>
      <w:b/>
      <w:bCs/>
      <w:sz w:val="16"/>
      <w:szCs w:val="16"/>
    </w:rPr>
  </w:style>
  <w:style w:type="paragraph" w:customStyle="1" w:styleId="xl90">
    <w:name w:val="xl90"/>
    <w:basedOn w:val="Normal"/>
    <w:rsid w:val="00561060"/>
    <w:pPr>
      <w:pBdr>
        <w:top w:val="single" w:sz="4" w:space="0" w:color="auto"/>
        <w:left w:val="single" w:sz="4" w:space="0" w:color="auto"/>
        <w:bottom w:val="single" w:sz="4" w:space="0" w:color="auto"/>
        <w:right w:val="single" w:sz="4" w:space="0" w:color="auto"/>
      </w:pBdr>
      <w:shd w:val="clear" w:color="000000" w:fill="D0CECE"/>
      <w:spacing w:before="100" w:beforeAutospacing="1" w:afterAutospacing="1"/>
      <w:jc w:val="right"/>
      <w:textAlignment w:val="center"/>
    </w:pPr>
    <w:rPr>
      <w:rFonts w:ascii="Times New Roman" w:eastAsia="Times New Roman" w:hAnsi="Times New Roman" w:cs="Times New Roman"/>
      <w:b/>
      <w:bCs/>
      <w:sz w:val="16"/>
      <w:szCs w:val="16"/>
    </w:rPr>
  </w:style>
  <w:style w:type="paragraph" w:customStyle="1" w:styleId="xl91">
    <w:name w:val="xl91"/>
    <w:basedOn w:val="Normal"/>
    <w:rsid w:val="00561060"/>
    <w:pPr>
      <w:pBdr>
        <w:top w:val="single" w:sz="4" w:space="0" w:color="auto"/>
        <w:left w:val="single" w:sz="4" w:space="0" w:color="auto"/>
        <w:bottom w:val="single" w:sz="4" w:space="0" w:color="auto"/>
        <w:right w:val="single" w:sz="4" w:space="0" w:color="auto"/>
      </w:pBdr>
      <w:spacing w:before="100" w:beforeAutospacing="1" w:afterAutospacing="1"/>
      <w:jc w:val="right"/>
    </w:pPr>
    <w:rPr>
      <w:rFonts w:eastAsia="Times New Roman" w:cs="Times New Roman"/>
      <w:sz w:val="16"/>
      <w:szCs w:val="16"/>
    </w:rPr>
  </w:style>
  <w:style w:type="paragraph" w:customStyle="1" w:styleId="xl92">
    <w:name w:val="xl92"/>
    <w:basedOn w:val="Normal"/>
    <w:rsid w:val="00561060"/>
    <w:pPr>
      <w:pBdr>
        <w:top w:val="single" w:sz="4" w:space="0" w:color="auto"/>
        <w:right w:val="single" w:sz="4" w:space="0" w:color="auto"/>
      </w:pBdr>
      <w:spacing w:before="100" w:beforeAutospacing="1" w:afterAutospacing="1"/>
      <w:jc w:val="right"/>
      <w:textAlignment w:val="center"/>
    </w:pPr>
    <w:rPr>
      <w:rFonts w:eastAsia="Times New Roman" w:cs="Times New Roman"/>
      <w:sz w:val="16"/>
      <w:szCs w:val="16"/>
    </w:rPr>
  </w:style>
  <w:style w:type="paragraph" w:customStyle="1" w:styleId="xl93">
    <w:name w:val="xl93"/>
    <w:basedOn w:val="Normal"/>
    <w:rsid w:val="00561060"/>
    <w:pPr>
      <w:pBdr>
        <w:right w:val="single" w:sz="4" w:space="0" w:color="auto"/>
      </w:pBdr>
      <w:spacing w:before="100" w:beforeAutospacing="1" w:afterAutospacing="1"/>
      <w:jc w:val="right"/>
      <w:textAlignment w:val="center"/>
    </w:pPr>
    <w:rPr>
      <w:rFonts w:eastAsia="Times New Roman" w:cs="Times New Roman"/>
      <w:sz w:val="16"/>
      <w:szCs w:val="16"/>
    </w:rPr>
  </w:style>
  <w:style w:type="paragraph" w:customStyle="1" w:styleId="xl94">
    <w:name w:val="xl94"/>
    <w:basedOn w:val="Normal"/>
    <w:rsid w:val="00561060"/>
    <w:pPr>
      <w:pBdr>
        <w:bottom w:val="single" w:sz="4" w:space="0" w:color="auto"/>
        <w:right w:val="single" w:sz="4" w:space="0" w:color="auto"/>
      </w:pBdr>
      <w:spacing w:before="100" w:beforeAutospacing="1" w:afterAutospacing="1"/>
      <w:jc w:val="right"/>
      <w:textAlignment w:val="center"/>
    </w:pPr>
    <w:rPr>
      <w:rFonts w:eastAsia="Times New Roman" w:cs="Times New Roman"/>
      <w:sz w:val="16"/>
      <w:szCs w:val="16"/>
    </w:rPr>
  </w:style>
  <w:style w:type="paragraph" w:customStyle="1" w:styleId="xl95">
    <w:name w:val="xl95"/>
    <w:basedOn w:val="Normal"/>
    <w:rsid w:val="00561060"/>
    <w:pPr>
      <w:pBdr>
        <w:top w:val="single" w:sz="4" w:space="0" w:color="auto"/>
        <w:left w:val="single" w:sz="4" w:space="0" w:color="auto"/>
        <w:bottom w:val="single" w:sz="4" w:space="0" w:color="auto"/>
        <w:right w:val="single" w:sz="4" w:space="0" w:color="auto"/>
      </w:pBdr>
      <w:shd w:val="clear" w:color="000000" w:fill="D9D9D9"/>
      <w:spacing w:before="100" w:beforeAutospacing="1" w:afterAutospacing="1"/>
      <w:jc w:val="center"/>
      <w:textAlignment w:val="center"/>
    </w:pPr>
    <w:rPr>
      <w:rFonts w:ascii="Times New Roman" w:eastAsia="Times New Roman" w:hAnsi="Times New Roman" w:cs="Times New Roman"/>
      <w:b/>
      <w:bCs/>
      <w:color w:val="000000"/>
      <w:sz w:val="16"/>
      <w:szCs w:val="16"/>
    </w:rPr>
  </w:style>
  <w:style w:type="paragraph" w:customStyle="1" w:styleId="xl96">
    <w:name w:val="xl96"/>
    <w:basedOn w:val="Normal"/>
    <w:rsid w:val="00561060"/>
    <w:pPr>
      <w:pBdr>
        <w:top w:val="single" w:sz="4" w:space="0" w:color="auto"/>
        <w:bottom w:val="single" w:sz="4" w:space="0" w:color="auto"/>
        <w:right w:val="single" w:sz="4" w:space="0" w:color="auto"/>
      </w:pBdr>
      <w:shd w:val="clear" w:color="000000" w:fill="D0CECE"/>
      <w:spacing w:before="100" w:beforeAutospacing="1" w:afterAutospacing="1"/>
      <w:jc w:val="right"/>
      <w:textAlignment w:val="center"/>
    </w:pPr>
    <w:rPr>
      <w:rFonts w:ascii="Times New Roman" w:eastAsia="Times New Roman" w:hAnsi="Times New Roman" w:cs="Times New Roman"/>
      <w:b/>
      <w:bCs/>
      <w:sz w:val="16"/>
      <w:szCs w:val="16"/>
    </w:rPr>
  </w:style>
  <w:style w:type="paragraph" w:customStyle="1" w:styleId="xl97">
    <w:name w:val="xl97"/>
    <w:basedOn w:val="Normal"/>
    <w:rsid w:val="00561060"/>
    <w:pPr>
      <w:pBdr>
        <w:top w:val="single" w:sz="4" w:space="0" w:color="auto"/>
        <w:left w:val="single" w:sz="4" w:space="0" w:color="auto"/>
        <w:bottom w:val="single" w:sz="4" w:space="0" w:color="auto"/>
      </w:pBdr>
      <w:shd w:val="clear" w:color="000000" w:fill="D0CECE"/>
      <w:spacing w:before="100" w:beforeAutospacing="1" w:afterAutospacing="1"/>
      <w:jc w:val="right"/>
      <w:textAlignment w:val="center"/>
    </w:pPr>
    <w:rPr>
      <w:rFonts w:ascii="Times New Roman" w:eastAsia="Times New Roman" w:hAnsi="Times New Roman" w:cs="Times New Roman"/>
      <w:b/>
      <w:bCs/>
      <w:sz w:val="16"/>
      <w:szCs w:val="16"/>
    </w:rPr>
  </w:style>
  <w:style w:type="paragraph" w:customStyle="1" w:styleId="xl98">
    <w:name w:val="xl98"/>
    <w:basedOn w:val="Normal"/>
    <w:rsid w:val="00561060"/>
    <w:pPr>
      <w:pBdr>
        <w:top w:val="single" w:sz="4" w:space="0" w:color="auto"/>
        <w:left w:val="single" w:sz="4" w:space="0" w:color="auto"/>
        <w:right w:val="single" w:sz="4" w:space="0" w:color="auto"/>
      </w:pBdr>
      <w:shd w:val="clear" w:color="000000" w:fill="D9D9D9"/>
      <w:spacing w:before="100" w:beforeAutospacing="1" w:afterAutospacing="1"/>
      <w:jc w:val="center"/>
      <w:textAlignment w:val="center"/>
    </w:pPr>
    <w:rPr>
      <w:rFonts w:ascii="Times New Roman" w:eastAsia="Times New Roman" w:hAnsi="Times New Roman" w:cs="Times New Roman"/>
      <w:b/>
      <w:bCs/>
      <w:color w:val="000000"/>
      <w:sz w:val="16"/>
      <w:szCs w:val="16"/>
    </w:rPr>
  </w:style>
  <w:style w:type="paragraph" w:customStyle="1" w:styleId="xl99">
    <w:name w:val="xl99"/>
    <w:basedOn w:val="Normal"/>
    <w:rsid w:val="00561060"/>
    <w:pPr>
      <w:pBdr>
        <w:left w:val="single" w:sz="4" w:space="0" w:color="auto"/>
        <w:bottom w:val="single" w:sz="4" w:space="0" w:color="auto"/>
        <w:right w:val="single" w:sz="4" w:space="0" w:color="auto"/>
      </w:pBdr>
      <w:shd w:val="clear" w:color="000000" w:fill="D9D9D9"/>
      <w:spacing w:before="100" w:beforeAutospacing="1" w:afterAutospacing="1"/>
      <w:jc w:val="center"/>
      <w:textAlignment w:val="center"/>
    </w:pPr>
    <w:rPr>
      <w:rFonts w:ascii="Times New Roman" w:eastAsia="Times New Roman" w:hAnsi="Times New Roman" w:cs="Times New Roman"/>
      <w:b/>
      <w:bCs/>
      <w:color w:val="000000"/>
      <w:sz w:val="16"/>
      <w:szCs w:val="16"/>
    </w:rPr>
  </w:style>
  <w:style w:type="paragraph" w:customStyle="1" w:styleId="xl100">
    <w:name w:val="xl100"/>
    <w:basedOn w:val="Normal"/>
    <w:rsid w:val="00561060"/>
    <w:pPr>
      <w:pBdr>
        <w:top w:val="single" w:sz="4" w:space="0" w:color="auto"/>
        <w:left w:val="single" w:sz="4" w:space="0" w:color="auto"/>
        <w:right w:val="single" w:sz="4" w:space="0" w:color="auto"/>
      </w:pBdr>
      <w:shd w:val="clear" w:color="000000" w:fill="D9D9D9"/>
      <w:spacing w:before="100" w:beforeAutospacing="1" w:afterAutospacing="1"/>
      <w:textAlignment w:val="center"/>
    </w:pPr>
    <w:rPr>
      <w:rFonts w:ascii="Times New Roman" w:eastAsia="Times New Roman" w:hAnsi="Times New Roman" w:cs="Times New Roman"/>
      <w:b/>
      <w:bCs/>
      <w:color w:val="000000"/>
      <w:sz w:val="16"/>
      <w:szCs w:val="16"/>
    </w:rPr>
  </w:style>
  <w:style w:type="paragraph" w:customStyle="1" w:styleId="xl101">
    <w:name w:val="xl101"/>
    <w:basedOn w:val="Normal"/>
    <w:rsid w:val="00561060"/>
    <w:pPr>
      <w:pBdr>
        <w:left w:val="single" w:sz="4" w:space="0" w:color="auto"/>
        <w:bottom w:val="single" w:sz="4" w:space="0" w:color="auto"/>
        <w:right w:val="single" w:sz="4" w:space="0" w:color="auto"/>
      </w:pBdr>
      <w:shd w:val="clear" w:color="000000" w:fill="D9D9D9"/>
      <w:spacing w:before="100" w:beforeAutospacing="1" w:afterAutospacing="1"/>
      <w:textAlignment w:val="center"/>
    </w:pPr>
    <w:rPr>
      <w:rFonts w:ascii="Times New Roman" w:eastAsia="Times New Roman" w:hAnsi="Times New Roman" w:cs="Times New Roman"/>
      <w:b/>
      <w:bCs/>
      <w:color w:val="000000"/>
      <w:sz w:val="16"/>
      <w:szCs w:val="16"/>
    </w:rPr>
  </w:style>
  <w:style w:type="paragraph" w:customStyle="1" w:styleId="xl102">
    <w:name w:val="xl102"/>
    <w:basedOn w:val="Normal"/>
    <w:rsid w:val="00561060"/>
    <w:pPr>
      <w:pBdr>
        <w:top w:val="single" w:sz="4" w:space="0" w:color="auto"/>
        <w:left w:val="single" w:sz="4" w:space="0" w:color="auto"/>
        <w:right w:val="single" w:sz="4" w:space="0" w:color="auto"/>
      </w:pBdr>
      <w:shd w:val="clear" w:color="000000" w:fill="D9D9D9"/>
      <w:spacing w:before="100" w:beforeAutospacing="1" w:afterAutospacing="1"/>
      <w:jc w:val="right"/>
      <w:textAlignment w:val="center"/>
    </w:pPr>
    <w:rPr>
      <w:rFonts w:ascii="Times New Roman" w:eastAsia="Times New Roman" w:hAnsi="Times New Roman" w:cs="Times New Roman"/>
      <w:b/>
      <w:bCs/>
      <w:color w:val="000000"/>
      <w:sz w:val="16"/>
      <w:szCs w:val="16"/>
    </w:rPr>
  </w:style>
  <w:style w:type="paragraph" w:customStyle="1" w:styleId="xl103">
    <w:name w:val="xl103"/>
    <w:basedOn w:val="Normal"/>
    <w:rsid w:val="00561060"/>
    <w:pPr>
      <w:pBdr>
        <w:left w:val="single" w:sz="4" w:space="0" w:color="auto"/>
        <w:bottom w:val="single" w:sz="4" w:space="0" w:color="auto"/>
        <w:right w:val="single" w:sz="4" w:space="0" w:color="auto"/>
      </w:pBdr>
      <w:shd w:val="clear" w:color="000000" w:fill="D9D9D9"/>
      <w:spacing w:before="100" w:beforeAutospacing="1" w:afterAutospacing="1"/>
      <w:jc w:val="right"/>
      <w:textAlignment w:val="center"/>
    </w:pPr>
    <w:rPr>
      <w:rFonts w:ascii="Times New Roman" w:eastAsia="Times New Roman" w:hAnsi="Times New Roman" w:cs="Times New Roman"/>
      <w:b/>
      <w:bCs/>
      <w:color w:val="000000"/>
      <w:sz w:val="16"/>
      <w:szCs w:val="16"/>
    </w:rPr>
  </w:style>
  <w:style w:type="paragraph" w:customStyle="1" w:styleId="xl104">
    <w:name w:val="xl104"/>
    <w:basedOn w:val="Normal"/>
    <w:rsid w:val="00561060"/>
    <w:pPr>
      <w:pBdr>
        <w:top w:val="single" w:sz="4" w:space="0" w:color="auto"/>
        <w:left w:val="single" w:sz="4" w:space="0" w:color="auto"/>
        <w:right w:val="single" w:sz="4" w:space="0" w:color="auto"/>
      </w:pBdr>
      <w:spacing w:before="100" w:beforeAutospacing="1" w:afterAutospacing="1"/>
      <w:jc w:val="right"/>
      <w:textAlignment w:val="center"/>
    </w:pPr>
    <w:rPr>
      <w:rFonts w:eastAsia="Times New Roman" w:cs="Times New Roman"/>
      <w:color w:val="000000"/>
      <w:sz w:val="16"/>
      <w:szCs w:val="16"/>
    </w:rPr>
  </w:style>
  <w:style w:type="paragraph" w:customStyle="1" w:styleId="xl105">
    <w:name w:val="xl105"/>
    <w:basedOn w:val="Normal"/>
    <w:rsid w:val="00561060"/>
    <w:pPr>
      <w:pBdr>
        <w:left w:val="single" w:sz="4" w:space="0" w:color="auto"/>
        <w:right w:val="single" w:sz="4" w:space="0" w:color="auto"/>
      </w:pBdr>
      <w:spacing w:before="100" w:beforeAutospacing="1" w:afterAutospacing="1"/>
      <w:jc w:val="right"/>
      <w:textAlignment w:val="center"/>
    </w:pPr>
    <w:rPr>
      <w:rFonts w:eastAsia="Times New Roman" w:cs="Times New Roman"/>
      <w:color w:val="000000"/>
      <w:sz w:val="16"/>
      <w:szCs w:val="16"/>
    </w:rPr>
  </w:style>
  <w:style w:type="paragraph" w:customStyle="1" w:styleId="xl106">
    <w:name w:val="xl106"/>
    <w:basedOn w:val="Normal"/>
    <w:rsid w:val="00561060"/>
    <w:pPr>
      <w:pBdr>
        <w:left w:val="single" w:sz="4" w:space="0" w:color="auto"/>
        <w:bottom w:val="single" w:sz="4" w:space="0" w:color="auto"/>
        <w:right w:val="single" w:sz="4" w:space="0" w:color="auto"/>
      </w:pBdr>
      <w:spacing w:before="100" w:beforeAutospacing="1" w:afterAutospacing="1"/>
      <w:jc w:val="right"/>
      <w:textAlignment w:val="center"/>
    </w:pPr>
    <w:rPr>
      <w:rFonts w:eastAsia="Times New Roman" w:cs="Times New Roman"/>
      <w:color w:val="000000"/>
      <w:sz w:val="16"/>
      <w:szCs w:val="16"/>
    </w:rPr>
  </w:style>
  <w:style w:type="paragraph" w:customStyle="1" w:styleId="xl107">
    <w:name w:val="xl107"/>
    <w:basedOn w:val="Normal"/>
    <w:rsid w:val="00561060"/>
    <w:pPr>
      <w:pBdr>
        <w:top w:val="single" w:sz="4" w:space="0" w:color="auto"/>
        <w:right w:val="single" w:sz="4" w:space="0" w:color="auto"/>
      </w:pBdr>
      <w:spacing w:before="100" w:beforeAutospacing="1" w:afterAutospacing="1"/>
      <w:jc w:val="right"/>
      <w:textAlignment w:val="center"/>
    </w:pPr>
    <w:rPr>
      <w:rFonts w:eastAsia="Times New Roman" w:cs="Times New Roman"/>
      <w:sz w:val="16"/>
      <w:szCs w:val="16"/>
    </w:rPr>
  </w:style>
  <w:style w:type="paragraph" w:customStyle="1" w:styleId="xl108">
    <w:name w:val="xl108"/>
    <w:basedOn w:val="Normal"/>
    <w:rsid w:val="00561060"/>
    <w:pPr>
      <w:pBdr>
        <w:right w:val="single" w:sz="4" w:space="0" w:color="auto"/>
      </w:pBdr>
      <w:spacing w:before="100" w:beforeAutospacing="1" w:afterAutospacing="1"/>
      <w:jc w:val="right"/>
      <w:textAlignment w:val="center"/>
    </w:pPr>
    <w:rPr>
      <w:rFonts w:eastAsia="Times New Roman" w:cs="Times New Roman"/>
      <w:sz w:val="16"/>
      <w:szCs w:val="16"/>
    </w:rPr>
  </w:style>
  <w:style w:type="paragraph" w:customStyle="1" w:styleId="xl109">
    <w:name w:val="xl109"/>
    <w:basedOn w:val="Normal"/>
    <w:rsid w:val="00561060"/>
    <w:pPr>
      <w:pBdr>
        <w:bottom w:val="single" w:sz="4" w:space="0" w:color="auto"/>
        <w:right w:val="single" w:sz="4" w:space="0" w:color="auto"/>
      </w:pBdr>
      <w:spacing w:before="100" w:beforeAutospacing="1" w:afterAutospacing="1"/>
      <w:jc w:val="right"/>
      <w:textAlignment w:val="center"/>
    </w:pPr>
    <w:rPr>
      <w:rFonts w:eastAsia="Times New Roman" w:cs="Times New Roman"/>
      <w:sz w:val="16"/>
      <w:szCs w:val="16"/>
    </w:rPr>
  </w:style>
  <w:style w:type="paragraph" w:styleId="TableofFigures">
    <w:name w:val="table of figures"/>
    <w:basedOn w:val="Normal"/>
    <w:next w:val="Normal"/>
    <w:uiPriority w:val="99"/>
    <w:unhideWhenUsed/>
    <w:rsid w:val="00561060"/>
    <w:pPr>
      <w:bidi/>
      <w:spacing w:line="276" w:lineRule="auto"/>
      <w:jc w:val="lowKashida"/>
    </w:pPr>
    <w:rPr>
      <w:rFonts w:ascii="B Zar" w:hAnsi="B Zar" w:cs="B Zar"/>
      <w:color w:val="000000"/>
      <w:szCs w:val="22"/>
      <w:lang w:bidi="fa-IR"/>
    </w:rPr>
  </w:style>
  <w:style w:type="paragraph" w:styleId="ListBullet">
    <w:name w:val="List Bullet"/>
    <w:basedOn w:val="Normal"/>
    <w:uiPriority w:val="99"/>
    <w:unhideWhenUsed/>
    <w:rsid w:val="00561060"/>
    <w:pPr>
      <w:numPr>
        <w:numId w:val="15"/>
      </w:numPr>
      <w:bidi/>
      <w:spacing w:after="180" w:line="276" w:lineRule="auto"/>
      <w:contextualSpacing/>
      <w:jc w:val="lowKashida"/>
    </w:pPr>
    <w:rPr>
      <w:rFonts w:ascii="B Zar" w:hAnsi="B Zar" w:cs="B Zar"/>
      <w:color w:val="000000"/>
      <w:szCs w:val="22"/>
      <w:lang w:bidi="fa-IR"/>
    </w:rPr>
  </w:style>
  <w:style w:type="paragraph" w:styleId="NormalWeb">
    <w:name w:val="Normal (Web)"/>
    <w:basedOn w:val="Normal"/>
    <w:uiPriority w:val="99"/>
    <w:semiHidden/>
    <w:unhideWhenUsed/>
    <w:rsid w:val="00E50B8E"/>
    <w:pPr>
      <w:spacing w:before="100" w:beforeAutospacing="1" w:afterAutospacing="1"/>
    </w:pPr>
    <w:rPr>
      <w:rFonts w:ascii="Times New Roman" w:eastAsiaTheme="minorEastAsia"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338192">
      <w:bodyDiv w:val="1"/>
      <w:marLeft w:val="0"/>
      <w:marRight w:val="0"/>
      <w:marTop w:val="0"/>
      <w:marBottom w:val="0"/>
      <w:divBdr>
        <w:top w:val="none" w:sz="0" w:space="0" w:color="auto"/>
        <w:left w:val="none" w:sz="0" w:space="0" w:color="auto"/>
        <w:bottom w:val="none" w:sz="0" w:space="0" w:color="auto"/>
        <w:right w:val="none" w:sz="0" w:space="0" w:color="auto"/>
      </w:divBdr>
    </w:div>
    <w:div w:id="628056000">
      <w:bodyDiv w:val="1"/>
      <w:marLeft w:val="0"/>
      <w:marRight w:val="0"/>
      <w:marTop w:val="0"/>
      <w:marBottom w:val="0"/>
      <w:divBdr>
        <w:top w:val="none" w:sz="0" w:space="0" w:color="auto"/>
        <w:left w:val="none" w:sz="0" w:space="0" w:color="auto"/>
        <w:bottom w:val="none" w:sz="0" w:space="0" w:color="auto"/>
        <w:right w:val="none" w:sz="0" w:space="0" w:color="auto"/>
      </w:divBdr>
    </w:div>
    <w:div w:id="676931972">
      <w:bodyDiv w:val="1"/>
      <w:marLeft w:val="0"/>
      <w:marRight w:val="0"/>
      <w:marTop w:val="0"/>
      <w:marBottom w:val="0"/>
      <w:divBdr>
        <w:top w:val="none" w:sz="0" w:space="0" w:color="auto"/>
        <w:left w:val="none" w:sz="0" w:space="0" w:color="auto"/>
        <w:bottom w:val="none" w:sz="0" w:space="0" w:color="auto"/>
        <w:right w:val="none" w:sz="0" w:space="0" w:color="auto"/>
      </w:divBdr>
    </w:div>
    <w:div w:id="813303033">
      <w:bodyDiv w:val="1"/>
      <w:marLeft w:val="0"/>
      <w:marRight w:val="0"/>
      <w:marTop w:val="0"/>
      <w:marBottom w:val="0"/>
      <w:divBdr>
        <w:top w:val="none" w:sz="0" w:space="0" w:color="auto"/>
        <w:left w:val="none" w:sz="0" w:space="0" w:color="auto"/>
        <w:bottom w:val="none" w:sz="0" w:space="0" w:color="auto"/>
        <w:right w:val="none" w:sz="0" w:space="0" w:color="auto"/>
      </w:divBdr>
    </w:div>
    <w:div w:id="858856784">
      <w:bodyDiv w:val="1"/>
      <w:marLeft w:val="0"/>
      <w:marRight w:val="0"/>
      <w:marTop w:val="0"/>
      <w:marBottom w:val="0"/>
      <w:divBdr>
        <w:top w:val="none" w:sz="0" w:space="0" w:color="auto"/>
        <w:left w:val="none" w:sz="0" w:space="0" w:color="auto"/>
        <w:bottom w:val="none" w:sz="0" w:space="0" w:color="auto"/>
        <w:right w:val="none" w:sz="0" w:space="0" w:color="auto"/>
      </w:divBdr>
    </w:div>
    <w:div w:id="869489323">
      <w:bodyDiv w:val="1"/>
      <w:marLeft w:val="0"/>
      <w:marRight w:val="0"/>
      <w:marTop w:val="0"/>
      <w:marBottom w:val="0"/>
      <w:divBdr>
        <w:top w:val="none" w:sz="0" w:space="0" w:color="auto"/>
        <w:left w:val="none" w:sz="0" w:space="0" w:color="auto"/>
        <w:bottom w:val="none" w:sz="0" w:space="0" w:color="auto"/>
        <w:right w:val="none" w:sz="0" w:space="0" w:color="auto"/>
      </w:divBdr>
    </w:div>
    <w:div w:id="1333409337">
      <w:bodyDiv w:val="1"/>
      <w:marLeft w:val="0"/>
      <w:marRight w:val="0"/>
      <w:marTop w:val="0"/>
      <w:marBottom w:val="0"/>
      <w:divBdr>
        <w:top w:val="none" w:sz="0" w:space="0" w:color="auto"/>
        <w:left w:val="none" w:sz="0" w:space="0" w:color="auto"/>
        <w:bottom w:val="none" w:sz="0" w:space="0" w:color="auto"/>
        <w:right w:val="none" w:sz="0" w:space="0" w:color="auto"/>
      </w:divBdr>
    </w:div>
    <w:div w:id="1537500172">
      <w:bodyDiv w:val="1"/>
      <w:marLeft w:val="0"/>
      <w:marRight w:val="0"/>
      <w:marTop w:val="0"/>
      <w:marBottom w:val="0"/>
      <w:divBdr>
        <w:top w:val="none" w:sz="0" w:space="0" w:color="auto"/>
        <w:left w:val="none" w:sz="0" w:space="0" w:color="auto"/>
        <w:bottom w:val="none" w:sz="0" w:space="0" w:color="auto"/>
        <w:right w:val="none" w:sz="0" w:space="0" w:color="auto"/>
      </w:divBdr>
    </w:div>
    <w:div w:id="1624729323">
      <w:bodyDiv w:val="1"/>
      <w:marLeft w:val="0"/>
      <w:marRight w:val="0"/>
      <w:marTop w:val="0"/>
      <w:marBottom w:val="0"/>
      <w:divBdr>
        <w:top w:val="none" w:sz="0" w:space="0" w:color="auto"/>
        <w:left w:val="none" w:sz="0" w:space="0" w:color="auto"/>
        <w:bottom w:val="none" w:sz="0" w:space="0" w:color="auto"/>
        <w:right w:val="none" w:sz="0" w:space="0" w:color="auto"/>
      </w:divBdr>
    </w:div>
    <w:div w:id="1841263803">
      <w:bodyDiv w:val="1"/>
      <w:marLeft w:val="0"/>
      <w:marRight w:val="0"/>
      <w:marTop w:val="0"/>
      <w:marBottom w:val="0"/>
      <w:divBdr>
        <w:top w:val="none" w:sz="0" w:space="0" w:color="auto"/>
        <w:left w:val="none" w:sz="0" w:space="0" w:color="auto"/>
        <w:bottom w:val="none" w:sz="0" w:space="0" w:color="auto"/>
        <w:right w:val="none" w:sz="0" w:space="0" w:color="auto"/>
      </w:divBdr>
    </w:div>
    <w:div w:id="2008166949">
      <w:bodyDiv w:val="1"/>
      <w:marLeft w:val="0"/>
      <w:marRight w:val="0"/>
      <w:marTop w:val="0"/>
      <w:marBottom w:val="0"/>
      <w:divBdr>
        <w:top w:val="none" w:sz="0" w:space="0" w:color="auto"/>
        <w:left w:val="none" w:sz="0" w:space="0" w:color="auto"/>
        <w:bottom w:val="none" w:sz="0" w:space="0" w:color="auto"/>
        <w:right w:val="none" w:sz="0" w:space="0" w:color="auto"/>
      </w:divBdr>
    </w:div>
    <w:div w:id="2052918480">
      <w:bodyDiv w:val="1"/>
      <w:marLeft w:val="0"/>
      <w:marRight w:val="0"/>
      <w:marTop w:val="0"/>
      <w:marBottom w:val="0"/>
      <w:divBdr>
        <w:top w:val="none" w:sz="0" w:space="0" w:color="auto"/>
        <w:left w:val="none" w:sz="0" w:space="0" w:color="auto"/>
        <w:bottom w:val="none" w:sz="0" w:space="0" w:color="auto"/>
        <w:right w:val="none" w:sz="0" w:space="0" w:color="auto"/>
      </w:divBdr>
    </w:div>
    <w:div w:id="21452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ustomXml" Target="../customXml/item4.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2" Type="http://schemas.openxmlformats.org/officeDocument/2006/relationships/oleObject" Target="file:///F:\1397\MFM%20-Updated\Copy%20of%20Copy%20of%20MFM%20-%202018%20v2.1.xlsm"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F:\1397\MFM%20-Updated\Copy%20of%20Copy%20of%20MFM%20-%202018%20v2.1.xlsm"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F:\1398%20Budget\1398%20Budget%20Outline\Tables\FEs\1397-1401%20FEs%20Final.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file:///F:\1398%20Budget\1398%20Budget%20Outline\Tables\FEs\1397-1401%20FEs%20Final.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jmal.waziree\Documents\IMF%20information\MFPD%20-%20budget%20portion.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ajmal.waziree\Documents\National%20budget\N%20budget%202%20version\Final%20chartpack%20and%20budget%20files\Final%20one\English%20Tabl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ayed.naseer.ahmad\Desktop\Tashkeel%20Charts%20and%20tabl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uzhgan.mohmand.BUDGETMOF\Desktop\Translations\Tashkeel%20in%20English%20.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uzhgan.mohmand.BUDGETMOF\Desktop\Translations\Tashkeel%20in%20English%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'Summary MTMF'!$B$83</c:f>
              <c:strCache>
                <c:ptCount val="1"/>
                <c:pt idx="0">
                  <c:v>CPI Inflation Average</c:v>
                </c:pt>
              </c:strCache>
            </c:strRef>
          </c:tx>
          <c:spPr>
            <a:ln w="15875" cap="rnd">
              <a:solidFill>
                <a:schemeClr val="accent1"/>
              </a:solidFill>
              <a:round/>
            </a:ln>
            <a:effectLst/>
          </c:spPr>
          <c:marker>
            <c:symbol val="none"/>
          </c:marker>
          <c:cat>
            <c:numRef>
              <c:f>'Summary MTMF'!$C$76:$I$76</c:f>
              <c:numCache>
                <c:formatCode>General</c:formatCode>
                <c:ptCount val="7"/>
                <c:pt idx="0">
                  <c:v>2016</c:v>
                </c:pt>
                <c:pt idx="1">
                  <c:v>2017</c:v>
                </c:pt>
                <c:pt idx="2">
                  <c:v>2018</c:v>
                </c:pt>
                <c:pt idx="3">
                  <c:v>2019</c:v>
                </c:pt>
                <c:pt idx="4">
                  <c:v>2020</c:v>
                </c:pt>
                <c:pt idx="5">
                  <c:v>2021</c:v>
                </c:pt>
                <c:pt idx="6">
                  <c:v>2022</c:v>
                </c:pt>
              </c:numCache>
            </c:numRef>
          </c:cat>
          <c:val>
            <c:numRef>
              <c:f>'Summary MTMF'!$C$83:$I$83</c:f>
              <c:numCache>
                <c:formatCode>0.0%</c:formatCode>
                <c:ptCount val="7"/>
                <c:pt idx="0">
                  <c:v>5.1837076822688566E-2</c:v>
                </c:pt>
                <c:pt idx="1">
                  <c:v>5.1147610483418093E-2</c:v>
                </c:pt>
                <c:pt idx="2">
                  <c:v>4.6162380267849912E-2</c:v>
                </c:pt>
                <c:pt idx="3">
                  <c:v>6.2749025888968912E-2</c:v>
                </c:pt>
                <c:pt idx="4">
                  <c:v>3.9236654957718553E-2</c:v>
                </c:pt>
                <c:pt idx="5">
                  <c:v>3.8760315126288969E-2</c:v>
                </c:pt>
                <c:pt idx="6">
                  <c:v>4.2163299361684059E-2</c:v>
                </c:pt>
              </c:numCache>
            </c:numRef>
          </c:val>
          <c:smooth val="1"/>
          <c:extLst>
            <c:ext xmlns:c16="http://schemas.microsoft.com/office/drawing/2014/chart" uri="{C3380CC4-5D6E-409C-BE32-E72D297353CC}">
              <c16:uniqueId val="{00000000-B6D8-4936-8D00-4C6E6B0E7A2B}"/>
            </c:ext>
          </c:extLst>
        </c:ser>
        <c:ser>
          <c:idx val="1"/>
          <c:order val="1"/>
          <c:tx>
            <c:strRef>
              <c:f>'Summary MTMF'!$B$84</c:f>
              <c:strCache>
                <c:ptCount val="1"/>
                <c:pt idx="0">
                  <c:v>Food</c:v>
                </c:pt>
              </c:strCache>
            </c:strRef>
          </c:tx>
          <c:spPr>
            <a:ln w="25400" cap="rnd">
              <a:solidFill>
                <a:schemeClr val="accent2"/>
              </a:solidFill>
              <a:prstDash val="sysDot"/>
              <a:round/>
            </a:ln>
            <a:effectLst/>
          </c:spPr>
          <c:marker>
            <c:symbol val="none"/>
          </c:marker>
          <c:cat>
            <c:numRef>
              <c:f>'Summary MTMF'!$C$76:$I$76</c:f>
              <c:numCache>
                <c:formatCode>General</c:formatCode>
                <c:ptCount val="7"/>
                <c:pt idx="0">
                  <c:v>2016</c:v>
                </c:pt>
                <c:pt idx="1">
                  <c:v>2017</c:v>
                </c:pt>
                <c:pt idx="2">
                  <c:v>2018</c:v>
                </c:pt>
                <c:pt idx="3">
                  <c:v>2019</c:v>
                </c:pt>
                <c:pt idx="4">
                  <c:v>2020</c:v>
                </c:pt>
                <c:pt idx="5">
                  <c:v>2021</c:v>
                </c:pt>
                <c:pt idx="6">
                  <c:v>2022</c:v>
                </c:pt>
              </c:numCache>
            </c:numRef>
          </c:cat>
          <c:val>
            <c:numRef>
              <c:f>'Summary MTMF'!$C$84:$I$84</c:f>
              <c:numCache>
                <c:formatCode>0.0%</c:formatCode>
                <c:ptCount val="7"/>
                <c:pt idx="0">
                  <c:v>6.2198843373958868E-2</c:v>
                </c:pt>
                <c:pt idx="1">
                  <c:v>7.4981893726775217E-2</c:v>
                </c:pt>
                <c:pt idx="2">
                  <c:v>5.0086167401031334E-2</c:v>
                </c:pt>
                <c:pt idx="3">
                  <c:v>8.2693369944783823E-2</c:v>
                </c:pt>
                <c:pt idx="4">
                  <c:v>5.1690070255553167E-2</c:v>
                </c:pt>
                <c:pt idx="5">
                  <c:v>6.969019040104163E-2</c:v>
                </c:pt>
                <c:pt idx="6">
                  <c:v>6.969019040104163E-2</c:v>
                </c:pt>
              </c:numCache>
            </c:numRef>
          </c:val>
          <c:smooth val="1"/>
          <c:extLst>
            <c:ext xmlns:c16="http://schemas.microsoft.com/office/drawing/2014/chart" uri="{C3380CC4-5D6E-409C-BE32-E72D297353CC}">
              <c16:uniqueId val="{00000001-B6D8-4936-8D00-4C6E6B0E7A2B}"/>
            </c:ext>
          </c:extLst>
        </c:ser>
        <c:ser>
          <c:idx val="2"/>
          <c:order val="2"/>
          <c:tx>
            <c:strRef>
              <c:f>'Summary MTMF'!$B$85</c:f>
              <c:strCache>
                <c:ptCount val="1"/>
                <c:pt idx="0">
                  <c:v>Non Food</c:v>
                </c:pt>
              </c:strCache>
            </c:strRef>
          </c:tx>
          <c:spPr>
            <a:ln w="25400" cap="rnd">
              <a:solidFill>
                <a:schemeClr val="accent3"/>
              </a:solidFill>
              <a:prstDash val="sysDot"/>
              <a:round/>
            </a:ln>
            <a:effectLst/>
          </c:spPr>
          <c:marker>
            <c:symbol val="none"/>
          </c:marker>
          <c:cat>
            <c:numRef>
              <c:f>'Summary MTMF'!$C$76:$I$76</c:f>
              <c:numCache>
                <c:formatCode>General</c:formatCode>
                <c:ptCount val="7"/>
                <c:pt idx="0">
                  <c:v>2016</c:v>
                </c:pt>
                <c:pt idx="1">
                  <c:v>2017</c:v>
                </c:pt>
                <c:pt idx="2">
                  <c:v>2018</c:v>
                </c:pt>
                <c:pt idx="3">
                  <c:v>2019</c:v>
                </c:pt>
                <c:pt idx="4">
                  <c:v>2020</c:v>
                </c:pt>
                <c:pt idx="5">
                  <c:v>2021</c:v>
                </c:pt>
                <c:pt idx="6">
                  <c:v>2022</c:v>
                </c:pt>
              </c:numCache>
            </c:numRef>
          </c:cat>
          <c:val>
            <c:numRef>
              <c:f>'Summary MTMF'!$C$85:$I$85</c:f>
              <c:numCache>
                <c:formatCode>0.0%</c:formatCode>
                <c:ptCount val="7"/>
                <c:pt idx="0">
                  <c:v>4.0722086340195363E-2</c:v>
                </c:pt>
                <c:pt idx="1">
                  <c:v>2.954464494535336E-2</c:v>
                </c:pt>
                <c:pt idx="2">
                  <c:v>3.1608863470694359E-2</c:v>
                </c:pt>
                <c:pt idx="3">
                  <c:v>3.207685052599718E-2</c:v>
                </c:pt>
                <c:pt idx="4">
                  <c:v>2.0468972314023448E-2</c:v>
                </c:pt>
                <c:pt idx="5">
                  <c:v>3.2083317609700623E-2</c:v>
                </c:pt>
                <c:pt idx="6">
                  <c:v>3.2083317609700623E-2</c:v>
                </c:pt>
              </c:numCache>
            </c:numRef>
          </c:val>
          <c:smooth val="1"/>
          <c:extLst>
            <c:ext xmlns:c16="http://schemas.microsoft.com/office/drawing/2014/chart" uri="{C3380CC4-5D6E-409C-BE32-E72D297353CC}">
              <c16:uniqueId val="{00000002-B6D8-4936-8D00-4C6E6B0E7A2B}"/>
            </c:ext>
          </c:extLst>
        </c:ser>
        <c:dLbls>
          <c:showLegendKey val="0"/>
          <c:showVal val="0"/>
          <c:showCatName val="0"/>
          <c:showSerName val="0"/>
          <c:showPercent val="0"/>
          <c:showBubbleSize val="0"/>
        </c:dLbls>
        <c:smooth val="0"/>
        <c:axId val="439886208"/>
        <c:axId val="439887744"/>
      </c:lineChart>
      <c:catAx>
        <c:axId val="439886208"/>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39887744"/>
        <c:crosses val="max"/>
        <c:auto val="1"/>
        <c:lblAlgn val="ctr"/>
        <c:lblOffset val="100"/>
        <c:noMultiLvlLbl val="0"/>
      </c:catAx>
      <c:valAx>
        <c:axId val="43988774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39886208"/>
        <c:crosses val="autoZero"/>
        <c:crossBetween val="between"/>
      </c:valAx>
      <c:spPr>
        <a:noFill/>
        <a:ln>
          <a:noFill/>
        </a:ln>
        <a:effectLst/>
      </c:spPr>
    </c:plotArea>
    <c:legend>
      <c:legendPos val="b"/>
      <c:overlay val="0"/>
    </c:legend>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t>Exchange Rate Afs/USD</a:t>
            </a:r>
          </a:p>
        </c:rich>
      </c:tx>
      <c:overlay val="0"/>
      <c:spPr>
        <a:noFill/>
        <a:ln>
          <a:noFill/>
        </a:ln>
        <a:effectLst/>
      </c:spPr>
    </c:title>
    <c:autoTitleDeleted val="0"/>
    <c:plotArea>
      <c:layout/>
      <c:lineChart>
        <c:grouping val="standard"/>
        <c:varyColors val="0"/>
        <c:ser>
          <c:idx val="0"/>
          <c:order val="0"/>
          <c:tx>
            <c:strRef>
              <c:f>'Summary MTMF'!$B$18</c:f>
              <c:strCache>
                <c:ptCount val="1"/>
                <c:pt idx="0">
                  <c:v>Exchange rate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'Summary MTMF'!$D$4:$I$4</c:f>
              <c:numCache>
                <c:formatCode>General</c:formatCode>
                <c:ptCount val="6"/>
                <c:pt idx="0">
                  <c:v>2017</c:v>
                </c:pt>
                <c:pt idx="1">
                  <c:v>2018</c:v>
                </c:pt>
                <c:pt idx="2">
                  <c:v>2019</c:v>
                </c:pt>
                <c:pt idx="3">
                  <c:v>2020</c:v>
                </c:pt>
                <c:pt idx="4">
                  <c:v>2021</c:v>
                </c:pt>
                <c:pt idx="5">
                  <c:v>2022</c:v>
                </c:pt>
              </c:numCache>
            </c:numRef>
          </c:cat>
          <c:val>
            <c:numRef>
              <c:f>'Summary MTMF'!$C$18:$I$18</c:f>
              <c:numCache>
                <c:formatCode>General</c:formatCode>
                <c:ptCount val="7"/>
                <c:pt idx="1">
                  <c:v>68.400000000000006</c:v>
                </c:pt>
                <c:pt idx="2">
                  <c:v>75.900000000000006</c:v>
                </c:pt>
                <c:pt idx="3">
                  <c:v>76</c:v>
                </c:pt>
                <c:pt idx="4">
                  <c:v>77</c:v>
                </c:pt>
                <c:pt idx="5">
                  <c:v>78</c:v>
                </c:pt>
                <c:pt idx="6">
                  <c:v>79</c:v>
                </c:pt>
              </c:numCache>
            </c:numRef>
          </c:val>
          <c:smooth val="0"/>
          <c:extLst>
            <c:ext xmlns:c16="http://schemas.microsoft.com/office/drawing/2014/chart" uri="{C3380CC4-5D6E-409C-BE32-E72D297353CC}">
              <c16:uniqueId val="{00000000-8BF6-4962-AA72-BB14B5F7089A}"/>
            </c:ext>
          </c:extLst>
        </c:ser>
        <c:dLbls>
          <c:showLegendKey val="0"/>
          <c:showVal val="0"/>
          <c:showCatName val="0"/>
          <c:showSerName val="0"/>
          <c:showPercent val="0"/>
          <c:showBubbleSize val="0"/>
        </c:dLbls>
        <c:smooth val="0"/>
        <c:axId val="439908608"/>
        <c:axId val="439914496"/>
      </c:lineChart>
      <c:catAx>
        <c:axId val="439908608"/>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39914496"/>
        <c:crosses val="autoZero"/>
        <c:auto val="1"/>
        <c:lblAlgn val="ctr"/>
        <c:lblOffset val="100"/>
        <c:noMultiLvlLbl val="0"/>
      </c:catAx>
      <c:valAx>
        <c:axId val="439914496"/>
        <c:scaling>
          <c:orientation val="maxMin"/>
          <c:min val="6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39908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ysClr val="windowText" lastClr="000000"/>
          </a:solidFill>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B Zar" pitchFamily="2" charset="-78"/>
              </a:defRPr>
            </a:pPr>
            <a:r>
              <a:rPr lang="en-US" sz="1400">
                <a:cs typeface="B Zar" pitchFamily="2" charset="-78"/>
              </a:rPr>
              <a:t>Domestic</a:t>
            </a:r>
            <a:r>
              <a:rPr lang="en-US" sz="1400" baseline="0">
                <a:cs typeface="B Zar" pitchFamily="2" charset="-78"/>
              </a:rPr>
              <a:t> Revenue and Foreign Aid </a:t>
            </a:r>
          </a:p>
          <a:p>
            <a:pPr>
              <a:defRPr sz="1400" b="0" i="0" u="none" strike="noStrike" kern="1200" spc="0" baseline="0">
                <a:solidFill>
                  <a:schemeClr val="tx1">
                    <a:lumMod val="65000"/>
                    <a:lumOff val="35000"/>
                  </a:schemeClr>
                </a:solidFill>
                <a:latin typeface="+mn-lt"/>
                <a:ea typeface="+mn-ea"/>
                <a:cs typeface="B Zar" pitchFamily="2" charset="-78"/>
              </a:defRPr>
            </a:pPr>
            <a:r>
              <a:rPr lang="en-US" sz="1100" baseline="0">
                <a:cs typeface="B Zar" pitchFamily="2" charset="-78"/>
              </a:rPr>
              <a:t>(Figures in Million Afs.)</a:t>
            </a:r>
            <a:endParaRPr lang="fa-IR" sz="1100">
              <a:cs typeface="B Zar" pitchFamily="2" charset="-78"/>
            </a:endParaRPr>
          </a:p>
        </c:rich>
      </c:tx>
      <c:overlay val="0"/>
      <c:spPr>
        <a:noFill/>
        <a:ln>
          <a:noFill/>
        </a:ln>
        <a:effectLst/>
      </c:spPr>
    </c:title>
    <c:autoTitleDeleted val="0"/>
    <c:plotArea>
      <c:layout/>
      <c:lineChart>
        <c:grouping val="standard"/>
        <c:varyColors val="0"/>
        <c:ser>
          <c:idx val="0"/>
          <c:order val="0"/>
          <c:tx>
            <c:strRef>
              <c:f>'[1397-1401 FEs Final.xlsx]Sheet1'!$A$2</c:f>
              <c:strCache>
                <c:ptCount val="1"/>
                <c:pt idx="0">
                  <c:v>مجموع عواید</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'[1397-1401 FEs Final.xlsx]Sheet1'!$B$1:$F$1</c:f>
              <c:numCache>
                <c:formatCode>General</c:formatCode>
                <c:ptCount val="5"/>
                <c:pt idx="0">
                  <c:v>1397</c:v>
                </c:pt>
                <c:pt idx="1">
                  <c:v>1398</c:v>
                </c:pt>
                <c:pt idx="2">
                  <c:v>1399</c:v>
                </c:pt>
                <c:pt idx="3">
                  <c:v>1400</c:v>
                </c:pt>
                <c:pt idx="4">
                  <c:v>1401</c:v>
                </c:pt>
              </c:numCache>
            </c:numRef>
          </c:cat>
          <c:val>
            <c:numRef>
              <c:f>'[1397-1401 FEs Final.xlsx]Sheet1'!$B$2:$F$2</c:f>
            </c:numRef>
          </c:val>
          <c:smooth val="0"/>
          <c:extLst>
            <c:ext xmlns:c16="http://schemas.microsoft.com/office/drawing/2014/chart" uri="{C3380CC4-5D6E-409C-BE32-E72D297353CC}">
              <c16:uniqueId val="{00000000-2D0E-45E6-9BB3-7495D9872599}"/>
            </c:ext>
          </c:extLst>
        </c:ser>
        <c:ser>
          <c:idx val="1"/>
          <c:order val="1"/>
          <c:tx>
            <c:strRef>
              <c:f>'[1397-1401 FEs Final.xlsx]Sheet1'!$A$3</c:f>
              <c:strCache>
                <c:ptCount val="1"/>
                <c:pt idx="0">
                  <c:v>عواید داخلی</c:v>
                </c:pt>
              </c:strCache>
            </c:strRef>
          </c:tx>
          <c:spPr>
            <a:ln w="28575" cap="rnd">
              <a:solidFill>
                <a:schemeClr val="accent2"/>
              </a:solidFill>
              <a:round/>
            </a:ln>
            <a:effectLst/>
          </c:spPr>
          <c:marker>
            <c:symbol val="none"/>
          </c:marker>
          <c:cat>
            <c:numRef>
              <c:f>'[1397-1401 FEs Final.xlsx]Sheet1'!$B$1:$F$1</c:f>
              <c:numCache>
                <c:formatCode>General</c:formatCode>
                <c:ptCount val="5"/>
                <c:pt idx="0">
                  <c:v>1397</c:v>
                </c:pt>
                <c:pt idx="1">
                  <c:v>1398</c:v>
                </c:pt>
                <c:pt idx="2">
                  <c:v>1399</c:v>
                </c:pt>
                <c:pt idx="3">
                  <c:v>1400</c:v>
                </c:pt>
                <c:pt idx="4">
                  <c:v>1401</c:v>
                </c:pt>
              </c:numCache>
            </c:numRef>
          </c:cat>
          <c:val>
            <c:numRef>
              <c:f>'[1397-1401 FEs Final.xlsx]Sheet1'!$B$3:$F$3</c:f>
              <c:numCache>
                <c:formatCode>_(* #,##0_);_(* \(#,##0\);_(* "-"??_);_(@_)</c:formatCode>
                <c:ptCount val="5"/>
                <c:pt idx="0">
                  <c:v>173500</c:v>
                </c:pt>
                <c:pt idx="1">
                  <c:v>188005.59466432902</c:v>
                </c:pt>
                <c:pt idx="2">
                  <c:v>208376.44163654701</c:v>
                </c:pt>
                <c:pt idx="3">
                  <c:v>234446.192482293</c:v>
                </c:pt>
                <c:pt idx="4">
                  <c:v>259100.14455417701</c:v>
                </c:pt>
              </c:numCache>
            </c:numRef>
          </c:val>
          <c:smooth val="0"/>
          <c:extLst>
            <c:ext xmlns:c16="http://schemas.microsoft.com/office/drawing/2014/chart" uri="{C3380CC4-5D6E-409C-BE32-E72D297353CC}">
              <c16:uniqueId val="{00000001-2D0E-45E6-9BB3-7495D9872599}"/>
            </c:ext>
          </c:extLst>
        </c:ser>
        <c:ser>
          <c:idx val="2"/>
          <c:order val="2"/>
          <c:tx>
            <c:strRef>
              <c:f>'[1397-1401 FEs Final.xlsx]Sheet1'!$A$4</c:f>
              <c:strCache>
                <c:ptCount val="1"/>
                <c:pt idx="0">
                  <c:v>کمک های خارجی</c:v>
                </c:pt>
              </c:strCache>
            </c:strRef>
          </c:tx>
          <c:spPr>
            <a:ln w="28575" cap="rnd">
              <a:solidFill>
                <a:schemeClr val="accent3"/>
              </a:solidFill>
              <a:round/>
            </a:ln>
            <a:effectLst/>
          </c:spPr>
          <c:marker>
            <c:symbol val="none"/>
          </c:marker>
          <c:cat>
            <c:numRef>
              <c:f>'[1397-1401 FEs Final.xlsx]Sheet1'!$B$1:$F$1</c:f>
              <c:numCache>
                <c:formatCode>General</c:formatCode>
                <c:ptCount val="5"/>
                <c:pt idx="0">
                  <c:v>1397</c:v>
                </c:pt>
                <c:pt idx="1">
                  <c:v>1398</c:v>
                </c:pt>
                <c:pt idx="2">
                  <c:v>1399</c:v>
                </c:pt>
                <c:pt idx="3">
                  <c:v>1400</c:v>
                </c:pt>
                <c:pt idx="4">
                  <c:v>1401</c:v>
                </c:pt>
              </c:numCache>
            </c:numRef>
          </c:cat>
          <c:val>
            <c:numRef>
              <c:f>'[1397-1401 FEs Final.xlsx]Sheet1'!$B$4:$F$4</c:f>
              <c:numCache>
                <c:formatCode>_(* #,##0_);_(* \(#,##0\);_(* "-"??_);_(@_)</c:formatCode>
                <c:ptCount val="5"/>
                <c:pt idx="0">
                  <c:v>235535.19599826998</c:v>
                </c:pt>
                <c:pt idx="1">
                  <c:v>199015.89736410615</c:v>
                </c:pt>
                <c:pt idx="2">
                  <c:v>174115.5302951459</c:v>
                </c:pt>
                <c:pt idx="3">
                  <c:v>134926.76357124629</c:v>
                </c:pt>
                <c:pt idx="4">
                  <c:v>94903.150497351104</c:v>
                </c:pt>
              </c:numCache>
            </c:numRef>
          </c:val>
          <c:smooth val="0"/>
          <c:extLst>
            <c:ext xmlns:c16="http://schemas.microsoft.com/office/drawing/2014/chart" uri="{C3380CC4-5D6E-409C-BE32-E72D297353CC}">
              <c16:uniqueId val="{00000002-2D0E-45E6-9BB3-7495D9872599}"/>
            </c:ext>
          </c:extLst>
        </c:ser>
        <c:dLbls>
          <c:showLegendKey val="0"/>
          <c:showVal val="0"/>
          <c:showCatName val="0"/>
          <c:showSerName val="0"/>
          <c:showPercent val="0"/>
          <c:showBubbleSize val="0"/>
        </c:dLbls>
        <c:smooth val="0"/>
        <c:axId val="439924992"/>
        <c:axId val="440008704"/>
      </c:lineChart>
      <c:catAx>
        <c:axId val="43992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008704"/>
        <c:crosses val="autoZero"/>
        <c:auto val="1"/>
        <c:lblAlgn val="ctr"/>
        <c:lblOffset val="100"/>
        <c:noMultiLvlLbl val="0"/>
      </c:catAx>
      <c:valAx>
        <c:axId val="440008704"/>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924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Zar" pitchFamily="2" charset="-78"/>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userShapes r:id="rId3"/>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B Zar" pitchFamily="2" charset="-78"/>
              </a:defRPr>
            </a:pPr>
            <a:r>
              <a:rPr lang="en-US">
                <a:cs typeface="B Zar" pitchFamily="2" charset="-78"/>
              </a:rPr>
              <a:t>Expenditure</a:t>
            </a:r>
            <a:r>
              <a:rPr lang="en-US" baseline="0">
                <a:cs typeface="B Zar" pitchFamily="2" charset="-78"/>
              </a:rPr>
              <a:t> &amp; Revenue Pathway</a:t>
            </a:r>
          </a:p>
          <a:p>
            <a:pPr>
              <a:defRPr sz="1400" b="0" i="0" u="none" strike="noStrike" kern="1200" spc="0" baseline="0">
                <a:solidFill>
                  <a:schemeClr val="tx1">
                    <a:lumMod val="65000"/>
                    <a:lumOff val="35000"/>
                  </a:schemeClr>
                </a:solidFill>
                <a:latin typeface="+mn-lt"/>
                <a:ea typeface="+mn-ea"/>
                <a:cs typeface="B Zar" pitchFamily="2" charset="-78"/>
              </a:defRPr>
            </a:pPr>
            <a:r>
              <a:rPr lang="en-US" sz="1100" baseline="0">
                <a:cs typeface="B Zar" pitchFamily="2" charset="-78"/>
              </a:rPr>
              <a:t>(Figures in Million Afs.)</a:t>
            </a:r>
            <a:endParaRPr lang="fa-IR" sz="1100" baseline="0">
              <a:cs typeface="B Zar" pitchFamily="2" charset="-78"/>
            </a:endParaRPr>
          </a:p>
        </c:rich>
      </c:tx>
      <c:overlay val="0"/>
      <c:spPr>
        <a:noFill/>
        <a:ln>
          <a:noFill/>
        </a:ln>
        <a:effectLst/>
      </c:spPr>
    </c:title>
    <c:autoTitleDeleted val="0"/>
    <c:plotArea>
      <c:layout/>
      <c:lineChart>
        <c:grouping val="standard"/>
        <c:varyColors val="0"/>
        <c:ser>
          <c:idx val="0"/>
          <c:order val="0"/>
          <c:tx>
            <c:strRef>
              <c:f>'[1397-1401 FEs Final.xlsx]Sheet2'!$A$3</c:f>
              <c:strCache>
                <c:ptCount val="1"/>
                <c:pt idx="0">
                  <c:v>مجموع عواید</c:v>
                </c:pt>
              </c:strCache>
            </c:strRef>
          </c:tx>
          <c:spPr>
            <a:ln w="28575" cap="rnd">
              <a:solidFill>
                <a:schemeClr val="accent1"/>
              </a:solidFill>
              <a:round/>
            </a:ln>
            <a:effectLst/>
          </c:spPr>
          <c:marker>
            <c:symbol val="none"/>
          </c:marker>
          <c:cat>
            <c:numRef>
              <c:f>'[1397-1401 FEs Final.xlsx]Sheet2'!$B$1:$F$1</c:f>
              <c:numCache>
                <c:formatCode>General</c:formatCode>
                <c:ptCount val="5"/>
                <c:pt idx="0">
                  <c:v>1397</c:v>
                </c:pt>
                <c:pt idx="1">
                  <c:v>1398</c:v>
                </c:pt>
                <c:pt idx="2">
                  <c:v>1399</c:v>
                </c:pt>
                <c:pt idx="3">
                  <c:v>1400</c:v>
                </c:pt>
                <c:pt idx="4">
                  <c:v>1401</c:v>
                </c:pt>
              </c:numCache>
            </c:numRef>
          </c:cat>
          <c:val>
            <c:numRef>
              <c:f>'[1397-1401 FEs Final.xlsx]Sheet2'!$B$3:$F$3</c:f>
              <c:numCache>
                <c:formatCode>_(* #,##0_);_(* \(#,##0\);_(* "-"??_);_(@_)</c:formatCode>
                <c:ptCount val="5"/>
                <c:pt idx="0">
                  <c:v>409035.19599827001</c:v>
                </c:pt>
                <c:pt idx="1">
                  <c:v>387021.49202843517</c:v>
                </c:pt>
                <c:pt idx="2">
                  <c:v>382491.97193169285</c:v>
                </c:pt>
                <c:pt idx="3">
                  <c:v>369372.9560535393</c:v>
                </c:pt>
                <c:pt idx="4">
                  <c:v>354003.29505152808</c:v>
                </c:pt>
              </c:numCache>
            </c:numRef>
          </c:val>
          <c:smooth val="0"/>
          <c:extLst>
            <c:ext xmlns:c16="http://schemas.microsoft.com/office/drawing/2014/chart" uri="{C3380CC4-5D6E-409C-BE32-E72D297353CC}">
              <c16:uniqueId val="{00000000-9137-445F-8779-35242E4B6557}"/>
            </c:ext>
          </c:extLst>
        </c:ser>
        <c:ser>
          <c:idx val="1"/>
          <c:order val="1"/>
          <c:tx>
            <c:strRef>
              <c:f>'[1397-1401 FEs Final.xlsx]Sheet2'!$A$4</c:f>
              <c:strCache>
                <c:ptCount val="1"/>
                <c:pt idx="0">
                  <c:v>مصارف</c:v>
                </c:pt>
              </c:strCache>
            </c:strRef>
          </c:tx>
          <c:spPr>
            <a:ln w="28575" cap="rnd">
              <a:solidFill>
                <a:schemeClr val="accent2"/>
              </a:solidFill>
              <a:round/>
            </a:ln>
            <a:effectLst/>
          </c:spPr>
          <c:marker>
            <c:symbol val="none"/>
          </c:marker>
          <c:cat>
            <c:numRef>
              <c:f>'[1397-1401 FEs Final.xlsx]Sheet2'!$B$1:$F$1</c:f>
              <c:numCache>
                <c:formatCode>General</c:formatCode>
                <c:ptCount val="5"/>
                <c:pt idx="0">
                  <c:v>1397</c:v>
                </c:pt>
                <c:pt idx="1">
                  <c:v>1398</c:v>
                </c:pt>
                <c:pt idx="2">
                  <c:v>1399</c:v>
                </c:pt>
                <c:pt idx="3">
                  <c:v>1400</c:v>
                </c:pt>
                <c:pt idx="4">
                  <c:v>1401</c:v>
                </c:pt>
              </c:numCache>
            </c:numRef>
          </c:cat>
          <c:val>
            <c:numRef>
              <c:f>'[1397-1401 FEs Final.xlsx]Sheet2'!$B$4:$F$4</c:f>
              <c:numCache>
                <c:formatCode>_(* #,##0_);_(* \(#,##0\);_(* "-"??_);_(@_)</c:formatCode>
                <c:ptCount val="5"/>
                <c:pt idx="0">
                  <c:v>425158.84440616996</c:v>
                </c:pt>
                <c:pt idx="1">
                  <c:v>399317.9349308557</c:v>
                </c:pt>
                <c:pt idx="2">
                  <c:v>417692.38787335542</c:v>
                </c:pt>
                <c:pt idx="3">
                  <c:v>425016.77741915465</c:v>
                </c:pt>
                <c:pt idx="4">
                  <c:v>430014.30860372569</c:v>
                </c:pt>
              </c:numCache>
            </c:numRef>
          </c:val>
          <c:smooth val="0"/>
          <c:extLst>
            <c:ext xmlns:c16="http://schemas.microsoft.com/office/drawing/2014/chart" uri="{C3380CC4-5D6E-409C-BE32-E72D297353CC}">
              <c16:uniqueId val="{00000001-9137-445F-8779-35242E4B6557}"/>
            </c:ext>
          </c:extLst>
        </c:ser>
        <c:dLbls>
          <c:showLegendKey val="0"/>
          <c:showVal val="0"/>
          <c:showCatName val="0"/>
          <c:showSerName val="0"/>
          <c:showPercent val="0"/>
          <c:showBubbleSize val="0"/>
        </c:dLbls>
        <c:smooth val="0"/>
        <c:axId val="440023296"/>
        <c:axId val="440033280"/>
      </c:lineChart>
      <c:catAx>
        <c:axId val="44002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033280"/>
        <c:crosses val="autoZero"/>
        <c:auto val="1"/>
        <c:lblAlgn val="ctr"/>
        <c:lblOffset val="100"/>
        <c:noMultiLvlLbl val="0"/>
      </c:catAx>
      <c:valAx>
        <c:axId val="440033280"/>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02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Zar" pitchFamily="2" charset="-78"/>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Main</a:t>
            </a:r>
            <a:r>
              <a:rPr lang="en-US" baseline="0"/>
              <a:t> catagories of Domestic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'F:\1397\MFM -Updated\[Copy of Copy of MFM - 2018 v2.1.xlsm]Summary MTMF'!$K$10</c:f>
              <c:strCache>
                <c:ptCount val="1"/>
                <c:pt idx="0">
                  <c:v>Taxes on Income and Profits</c:v>
                </c:pt>
              </c:strCache>
            </c:strRef>
          </c:tx>
          <c:spPr>
            <a:solidFill>
              <a:schemeClr val="accent1"/>
            </a:solidFill>
            <a:ln>
              <a:noFill/>
            </a:ln>
            <a:effectLst/>
          </c:spPr>
          <c:invertIfNegative val="0"/>
          <c:cat>
            <c:numRef>
              <c:f>Table2!$C$6:$H$6</c:f>
              <c:numCache>
                <c:formatCode>General</c:formatCode>
                <c:ptCount val="6"/>
                <c:pt idx="0">
                  <c:v>2017</c:v>
                </c:pt>
                <c:pt idx="1">
                  <c:v>2018</c:v>
                </c:pt>
                <c:pt idx="2">
                  <c:v>2019</c:v>
                </c:pt>
                <c:pt idx="3">
                  <c:v>2020</c:v>
                </c:pt>
                <c:pt idx="4">
                  <c:v>2021</c:v>
                </c:pt>
                <c:pt idx="5">
                  <c:v>2022</c:v>
                </c:pt>
              </c:numCache>
            </c:numRef>
          </c:cat>
          <c:val>
            <c:numRef>
              <c:f>'F:\1397\MFM -Updated\[Copy of Copy of MFM - 2018 v2.1.xlsm]Summary MTMF'!$L$10:$Q$10</c:f>
              <c:numCache>
                <c:formatCode>General</c:formatCode>
                <c:ptCount val="6"/>
                <c:pt idx="0">
                  <c:v>39267.181411450001</c:v>
                </c:pt>
                <c:pt idx="1">
                  <c:v>40929.185981977469</c:v>
                </c:pt>
                <c:pt idx="2">
                  <c:v>42792.701955894161</c:v>
                </c:pt>
                <c:pt idx="3">
                  <c:v>48974.325377903995</c:v>
                </c:pt>
                <c:pt idx="4">
                  <c:v>55034.43020605034</c:v>
                </c:pt>
                <c:pt idx="5">
                  <c:v>60704.300645256357</c:v>
                </c:pt>
              </c:numCache>
            </c:numRef>
          </c:val>
          <c:extLst>
            <c:ext xmlns:c16="http://schemas.microsoft.com/office/drawing/2014/chart" uri="{C3380CC4-5D6E-409C-BE32-E72D297353CC}">
              <c16:uniqueId val="{00000000-F9A0-4E04-8C58-E237F712E7C1}"/>
            </c:ext>
          </c:extLst>
        </c:ser>
        <c:ser>
          <c:idx val="1"/>
          <c:order val="1"/>
          <c:tx>
            <c:strRef>
              <c:f>'F:\1397\MFM -Updated\[Copy of Copy of MFM - 2018 v2.1.xlsm]Summary MTMF'!$K$11</c:f>
              <c:strCache>
                <c:ptCount val="1"/>
                <c:pt idx="0">
                  <c:v>Taxes on Property</c:v>
                </c:pt>
              </c:strCache>
            </c:strRef>
          </c:tx>
          <c:spPr>
            <a:solidFill>
              <a:schemeClr val="accent2"/>
            </a:solidFill>
            <a:ln>
              <a:noFill/>
            </a:ln>
            <a:effectLst/>
          </c:spPr>
          <c:invertIfNegative val="0"/>
          <c:cat>
            <c:numRef>
              <c:f>Table2!$C$6:$H$6</c:f>
              <c:numCache>
                <c:formatCode>General</c:formatCode>
                <c:ptCount val="6"/>
                <c:pt idx="0">
                  <c:v>2017</c:v>
                </c:pt>
                <c:pt idx="1">
                  <c:v>2018</c:v>
                </c:pt>
                <c:pt idx="2">
                  <c:v>2019</c:v>
                </c:pt>
                <c:pt idx="3">
                  <c:v>2020</c:v>
                </c:pt>
                <c:pt idx="4">
                  <c:v>2021</c:v>
                </c:pt>
                <c:pt idx="5">
                  <c:v>2022</c:v>
                </c:pt>
              </c:numCache>
            </c:numRef>
          </c:cat>
          <c:val>
            <c:numRef>
              <c:f>'F:\1397\MFM -Updated\[Copy of Copy of MFM - 2018 v2.1.xlsm]Summary MTMF'!$L$11:$Q$11</c:f>
              <c:numCache>
                <c:formatCode>General</c:formatCode>
                <c:ptCount val="6"/>
                <c:pt idx="0">
                  <c:v>450.06541099999998</c:v>
                </c:pt>
                <c:pt idx="1">
                  <c:v>460.44185732650618</c:v>
                </c:pt>
                <c:pt idx="2">
                  <c:v>472.47726092495992</c:v>
                </c:pt>
                <c:pt idx="3">
                  <c:v>530.66751492621893</c:v>
                </c:pt>
                <c:pt idx="4">
                  <c:v>585.19992421995687</c:v>
                </c:pt>
                <c:pt idx="5">
                  <c:v>633.39915099068821</c:v>
                </c:pt>
              </c:numCache>
            </c:numRef>
          </c:val>
          <c:extLst>
            <c:ext xmlns:c16="http://schemas.microsoft.com/office/drawing/2014/chart" uri="{C3380CC4-5D6E-409C-BE32-E72D297353CC}">
              <c16:uniqueId val="{00000001-F9A0-4E04-8C58-E237F712E7C1}"/>
            </c:ext>
          </c:extLst>
        </c:ser>
        <c:ser>
          <c:idx val="2"/>
          <c:order val="2"/>
          <c:tx>
            <c:strRef>
              <c:f>'F:\1397\MFM -Updated\[Copy of Copy of MFM - 2018 v2.1.xlsm]Summary MTMF'!$K$12</c:f>
              <c:strCache>
                <c:ptCount val="1"/>
                <c:pt idx="0">
                  <c:v>Taxes on Goods and Services</c:v>
                </c:pt>
              </c:strCache>
            </c:strRef>
          </c:tx>
          <c:spPr>
            <a:solidFill>
              <a:schemeClr val="accent3"/>
            </a:solidFill>
            <a:ln>
              <a:noFill/>
            </a:ln>
            <a:effectLst/>
          </c:spPr>
          <c:invertIfNegative val="0"/>
          <c:cat>
            <c:numRef>
              <c:f>Table2!$C$6:$H$6</c:f>
              <c:numCache>
                <c:formatCode>General</c:formatCode>
                <c:ptCount val="6"/>
                <c:pt idx="0">
                  <c:v>2017</c:v>
                </c:pt>
                <c:pt idx="1">
                  <c:v>2018</c:v>
                </c:pt>
                <c:pt idx="2">
                  <c:v>2019</c:v>
                </c:pt>
                <c:pt idx="3">
                  <c:v>2020</c:v>
                </c:pt>
                <c:pt idx="4">
                  <c:v>2021</c:v>
                </c:pt>
                <c:pt idx="5">
                  <c:v>2022</c:v>
                </c:pt>
              </c:numCache>
            </c:numRef>
          </c:cat>
          <c:val>
            <c:numRef>
              <c:f>'F:\1397\MFM -Updated\[Copy of Copy of MFM - 2018 v2.1.xlsm]Summary MTMF'!$L$12:$Q$12</c:f>
              <c:numCache>
                <c:formatCode>General</c:formatCode>
                <c:ptCount val="6"/>
                <c:pt idx="0">
                  <c:v>33071.250860449996</c:v>
                </c:pt>
                <c:pt idx="1">
                  <c:v>34650.183544270069</c:v>
                </c:pt>
                <c:pt idx="2">
                  <c:v>36397.295950908105</c:v>
                </c:pt>
                <c:pt idx="3">
                  <c:v>41243.029722717387</c:v>
                </c:pt>
                <c:pt idx="4">
                  <c:v>46077.930482780248</c:v>
                </c:pt>
                <c:pt idx="5">
                  <c:v>50706.35330564771</c:v>
                </c:pt>
              </c:numCache>
            </c:numRef>
          </c:val>
          <c:extLst>
            <c:ext xmlns:c16="http://schemas.microsoft.com/office/drawing/2014/chart" uri="{C3380CC4-5D6E-409C-BE32-E72D297353CC}">
              <c16:uniqueId val="{00000002-F9A0-4E04-8C58-E237F712E7C1}"/>
            </c:ext>
          </c:extLst>
        </c:ser>
        <c:ser>
          <c:idx val="3"/>
          <c:order val="3"/>
          <c:tx>
            <c:strRef>
              <c:f>'F:\1397\MFM -Updated\[Copy of Copy of MFM - 2018 v2.1.xlsm]Summary MTMF'!$K$13</c:f>
              <c:strCache>
                <c:ptCount val="1"/>
                <c:pt idx="0">
                  <c:v>Taxes on Trade </c:v>
                </c:pt>
              </c:strCache>
            </c:strRef>
          </c:tx>
          <c:spPr>
            <a:solidFill>
              <a:schemeClr val="accent4"/>
            </a:solidFill>
            <a:ln>
              <a:noFill/>
            </a:ln>
            <a:effectLst/>
          </c:spPr>
          <c:invertIfNegative val="0"/>
          <c:cat>
            <c:numRef>
              <c:f>Table2!$C$6:$H$6</c:f>
              <c:numCache>
                <c:formatCode>General</c:formatCode>
                <c:ptCount val="6"/>
                <c:pt idx="0">
                  <c:v>2017</c:v>
                </c:pt>
                <c:pt idx="1">
                  <c:v>2018</c:v>
                </c:pt>
                <c:pt idx="2">
                  <c:v>2019</c:v>
                </c:pt>
                <c:pt idx="3">
                  <c:v>2020</c:v>
                </c:pt>
                <c:pt idx="4">
                  <c:v>2021</c:v>
                </c:pt>
                <c:pt idx="5">
                  <c:v>2022</c:v>
                </c:pt>
              </c:numCache>
            </c:numRef>
          </c:cat>
          <c:val>
            <c:numRef>
              <c:f>'F:\1397\MFM -Updated\[Copy of Copy of MFM - 2018 v2.1.xlsm]Summary MTMF'!$L$13:$Q$13</c:f>
              <c:numCache>
                <c:formatCode>General</c:formatCode>
                <c:ptCount val="6"/>
                <c:pt idx="0">
                  <c:v>35897.096555999997</c:v>
                </c:pt>
                <c:pt idx="1">
                  <c:v>37751.041327070903</c:v>
                </c:pt>
                <c:pt idx="2">
                  <c:v>39819.841885743008</c:v>
                </c:pt>
                <c:pt idx="3">
                  <c:v>45972.630754302372</c:v>
                </c:pt>
                <c:pt idx="4">
                  <c:v>52111.409895795907</c:v>
                </c:pt>
                <c:pt idx="5">
                  <c:v>57976.358714061018</c:v>
                </c:pt>
              </c:numCache>
            </c:numRef>
          </c:val>
          <c:extLst>
            <c:ext xmlns:c16="http://schemas.microsoft.com/office/drawing/2014/chart" uri="{C3380CC4-5D6E-409C-BE32-E72D297353CC}">
              <c16:uniqueId val="{00000003-F9A0-4E04-8C58-E237F712E7C1}"/>
            </c:ext>
          </c:extLst>
        </c:ser>
        <c:ser>
          <c:idx val="4"/>
          <c:order val="4"/>
          <c:tx>
            <c:strRef>
              <c:f>'F:\1397\MFM -Updated\[Copy of Copy of MFM - 2018 v2.1.xlsm]Summary MTMF'!$K$14</c:f>
              <c:strCache>
                <c:ptCount val="1"/>
                <c:pt idx="0">
                  <c:v>Other Taxes</c:v>
                </c:pt>
              </c:strCache>
            </c:strRef>
          </c:tx>
          <c:spPr>
            <a:solidFill>
              <a:schemeClr val="accent5"/>
            </a:solidFill>
            <a:ln>
              <a:noFill/>
            </a:ln>
            <a:effectLst/>
          </c:spPr>
          <c:invertIfNegative val="0"/>
          <c:cat>
            <c:numRef>
              <c:f>Table2!$C$6:$H$6</c:f>
              <c:numCache>
                <c:formatCode>General</c:formatCode>
                <c:ptCount val="6"/>
                <c:pt idx="0">
                  <c:v>2017</c:v>
                </c:pt>
                <c:pt idx="1">
                  <c:v>2018</c:v>
                </c:pt>
                <c:pt idx="2">
                  <c:v>2019</c:v>
                </c:pt>
                <c:pt idx="3">
                  <c:v>2020</c:v>
                </c:pt>
                <c:pt idx="4">
                  <c:v>2021</c:v>
                </c:pt>
                <c:pt idx="5">
                  <c:v>2022</c:v>
                </c:pt>
              </c:numCache>
            </c:numRef>
          </c:cat>
          <c:val>
            <c:numRef>
              <c:f>'F:\1397\MFM -Updated\[Copy of Copy of MFM - 2018 v2.1.xlsm]Summary MTMF'!$L$14:$Q$14</c:f>
              <c:numCache>
                <c:formatCode>General</c:formatCode>
                <c:ptCount val="6"/>
                <c:pt idx="0">
                  <c:v>2829.15737141</c:v>
                </c:pt>
                <c:pt idx="1">
                  <c:v>2933.3049482496949</c:v>
                </c:pt>
                <c:pt idx="2">
                  <c:v>3050.3923737971008</c:v>
                </c:pt>
                <c:pt idx="3">
                  <c:v>3472.0091673310103</c:v>
                </c:pt>
                <c:pt idx="4">
                  <c:v>3880.0482950153519</c:v>
                </c:pt>
                <c:pt idx="5">
                  <c:v>4255.7445306441032</c:v>
                </c:pt>
              </c:numCache>
            </c:numRef>
          </c:val>
          <c:extLst>
            <c:ext xmlns:c16="http://schemas.microsoft.com/office/drawing/2014/chart" uri="{C3380CC4-5D6E-409C-BE32-E72D297353CC}">
              <c16:uniqueId val="{00000004-F9A0-4E04-8C58-E237F712E7C1}"/>
            </c:ext>
          </c:extLst>
        </c:ser>
        <c:ser>
          <c:idx val="5"/>
          <c:order val="5"/>
          <c:tx>
            <c:strRef>
              <c:f>'F:\1397\MFM -Updated\[Copy of Copy of MFM - 2018 v2.1.xlsm]Summary MTMF'!$K$15</c:f>
              <c:strCache>
                <c:ptCount val="1"/>
                <c:pt idx="0">
                  <c:v>Non-Tax Revenue</c:v>
                </c:pt>
              </c:strCache>
            </c:strRef>
          </c:tx>
          <c:spPr>
            <a:solidFill>
              <a:schemeClr val="accent6"/>
            </a:solidFill>
            <a:ln>
              <a:noFill/>
            </a:ln>
            <a:effectLst/>
          </c:spPr>
          <c:invertIfNegative val="0"/>
          <c:cat>
            <c:numRef>
              <c:f>Table2!$C$6:$H$6</c:f>
              <c:numCache>
                <c:formatCode>General</c:formatCode>
                <c:ptCount val="6"/>
                <c:pt idx="0">
                  <c:v>2017</c:v>
                </c:pt>
                <c:pt idx="1">
                  <c:v>2018</c:v>
                </c:pt>
                <c:pt idx="2">
                  <c:v>2019</c:v>
                </c:pt>
                <c:pt idx="3">
                  <c:v>2020</c:v>
                </c:pt>
                <c:pt idx="4">
                  <c:v>2021</c:v>
                </c:pt>
                <c:pt idx="5">
                  <c:v>2022</c:v>
                </c:pt>
              </c:numCache>
            </c:numRef>
          </c:cat>
          <c:val>
            <c:numRef>
              <c:f>'F:\1397\MFM -Updated\[Copy of Copy of MFM - 2018 v2.1.xlsm]Summary MTMF'!$L$15:$Q$15</c:f>
              <c:numCache>
                <c:formatCode>General</c:formatCode>
                <c:ptCount val="6"/>
                <c:pt idx="0">
                  <c:v>54431.689519630003</c:v>
                </c:pt>
                <c:pt idx="1">
                  <c:v>56800.913627427748</c:v>
                </c:pt>
                <c:pt idx="2">
                  <c:v>59483.047412578817</c:v>
                </c:pt>
                <c:pt idx="3">
                  <c:v>68183.779099366366</c:v>
                </c:pt>
                <c:pt idx="4">
                  <c:v>76757.17367843134</c:v>
                </c:pt>
                <c:pt idx="5">
                  <c:v>84823.988207576709</c:v>
                </c:pt>
              </c:numCache>
            </c:numRef>
          </c:val>
          <c:extLst>
            <c:ext xmlns:c16="http://schemas.microsoft.com/office/drawing/2014/chart" uri="{C3380CC4-5D6E-409C-BE32-E72D297353CC}">
              <c16:uniqueId val="{00000005-F9A0-4E04-8C58-E237F712E7C1}"/>
            </c:ext>
          </c:extLst>
        </c:ser>
        <c:dLbls>
          <c:showLegendKey val="0"/>
          <c:showVal val="0"/>
          <c:showCatName val="0"/>
          <c:showSerName val="0"/>
          <c:showPercent val="0"/>
          <c:showBubbleSize val="0"/>
        </c:dLbls>
        <c:gapWidth val="150"/>
        <c:overlap val="100"/>
        <c:axId val="1427691551"/>
        <c:axId val="1427698623"/>
      </c:barChart>
      <c:catAx>
        <c:axId val="1427691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698623"/>
        <c:crosses val="autoZero"/>
        <c:auto val="1"/>
        <c:lblAlgn val="ctr"/>
        <c:lblOffset val="100"/>
        <c:noMultiLvlLbl val="0"/>
      </c:catAx>
      <c:valAx>
        <c:axId val="1427698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691551"/>
        <c:crosses val="autoZero"/>
        <c:crossBetween val="between"/>
      </c:valAx>
      <c:spPr>
        <a:noFill/>
        <a:ln>
          <a:noFill/>
        </a:ln>
        <a:effectLst/>
      </c:spPr>
    </c:plotArea>
    <c:legend>
      <c:legendPos val="b"/>
      <c:layout>
        <c:manualLayout>
          <c:xMode val="edge"/>
          <c:yMode val="edge"/>
          <c:x val="5.2034711877231563E-2"/>
          <c:y val="0.8766344221875394"/>
          <c:w val="0.82866311981272611"/>
          <c:h val="0.116741964631470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95361202167324"/>
          <c:y val="6.7235881229132072E-2"/>
          <c:w val="0.74254181725612289"/>
          <c:h val="0.85529426271380504"/>
        </c:manualLayout>
      </c:layout>
      <c:lineChart>
        <c:grouping val="standard"/>
        <c:varyColors val="0"/>
        <c:ser>
          <c:idx val="0"/>
          <c:order val="0"/>
          <c:tx>
            <c:strRef>
              <c:f>'Graph-Tashk Civilian &amp; Mil-F7'!$A$4</c:f>
              <c:strCache>
                <c:ptCount val="1"/>
                <c:pt idx="0">
                  <c:v>Military personnel</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'Graph-Tashk Civilian &amp; Mil-F7'!$B$2:$E$2</c:f>
              <c:numCache>
                <c:formatCode>General</c:formatCode>
                <c:ptCount val="4"/>
                <c:pt idx="0">
                  <c:v>1395</c:v>
                </c:pt>
                <c:pt idx="1">
                  <c:v>1396</c:v>
                </c:pt>
                <c:pt idx="2">
                  <c:v>1397</c:v>
                </c:pt>
                <c:pt idx="3">
                  <c:v>1398</c:v>
                </c:pt>
              </c:numCache>
            </c:numRef>
          </c:cat>
          <c:val>
            <c:numRef>
              <c:f>'Graph-Tashk Civilian &amp; Mil-F7'!$B$4:$E$4</c:f>
              <c:numCache>
                <c:formatCode>_(* #,##0_);_(* \(#,##0\);_(* "-"??_);_(@_)</c:formatCode>
                <c:ptCount val="4"/>
                <c:pt idx="0">
                  <c:v>442493.16000000003</c:v>
                </c:pt>
                <c:pt idx="1">
                  <c:v>448835.83999999997</c:v>
                </c:pt>
                <c:pt idx="2">
                  <c:v>462001.49999999994</c:v>
                </c:pt>
                <c:pt idx="3">
                  <c:v>470800</c:v>
                </c:pt>
              </c:numCache>
            </c:numRef>
          </c:val>
          <c:smooth val="0"/>
          <c:extLst>
            <c:ext xmlns:c16="http://schemas.microsoft.com/office/drawing/2014/chart" uri="{C3380CC4-5D6E-409C-BE32-E72D297353CC}">
              <c16:uniqueId val="{00000000-9F92-4410-9685-CDB88C722D8A}"/>
            </c:ext>
          </c:extLst>
        </c:ser>
        <c:ser>
          <c:idx val="1"/>
          <c:order val="1"/>
          <c:tx>
            <c:strRef>
              <c:f>'Graph-Tashk Civilian &amp; Mil-F7'!$A$5</c:f>
              <c:strCache>
                <c:ptCount val="1"/>
                <c:pt idx="0">
                  <c:v>Civil servants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'Graph-Tashk Civilian &amp; Mil-F7'!$B$2:$E$2</c:f>
              <c:numCache>
                <c:formatCode>General</c:formatCode>
                <c:ptCount val="4"/>
                <c:pt idx="0">
                  <c:v>1395</c:v>
                </c:pt>
                <c:pt idx="1">
                  <c:v>1396</c:v>
                </c:pt>
                <c:pt idx="2">
                  <c:v>1397</c:v>
                </c:pt>
                <c:pt idx="3">
                  <c:v>1398</c:v>
                </c:pt>
              </c:numCache>
            </c:numRef>
          </c:cat>
          <c:val>
            <c:numRef>
              <c:f>'Graph-Tashk Civilian &amp; Mil-F7'!$B$5:$E$5</c:f>
              <c:numCache>
                <c:formatCode>_(* #,##0_);_(* \(#,##0\);_(* "-"??_);_(@_)</c:formatCode>
                <c:ptCount val="4"/>
                <c:pt idx="0">
                  <c:v>407269.84</c:v>
                </c:pt>
                <c:pt idx="1">
                  <c:v>409117.16</c:v>
                </c:pt>
                <c:pt idx="2">
                  <c:v>418149.49999999994</c:v>
                </c:pt>
                <c:pt idx="3">
                  <c:v>420438</c:v>
                </c:pt>
              </c:numCache>
            </c:numRef>
          </c:val>
          <c:smooth val="0"/>
          <c:extLst>
            <c:ext xmlns:c16="http://schemas.microsoft.com/office/drawing/2014/chart" uri="{C3380CC4-5D6E-409C-BE32-E72D297353CC}">
              <c16:uniqueId val="{00000001-9F92-4410-9685-CDB88C722D8A}"/>
            </c:ext>
          </c:extLst>
        </c:ser>
        <c:dLbls>
          <c:showLegendKey val="0"/>
          <c:showVal val="0"/>
          <c:showCatName val="0"/>
          <c:showSerName val="0"/>
          <c:showPercent val="0"/>
          <c:showBubbleSize val="0"/>
        </c:dLbls>
        <c:marker val="1"/>
        <c:smooth val="0"/>
        <c:axId val="440093312"/>
        <c:axId val="440095488"/>
      </c:lineChart>
      <c:catAx>
        <c:axId val="44009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0095488"/>
        <c:crosses val="autoZero"/>
        <c:auto val="1"/>
        <c:lblAlgn val="ctr"/>
        <c:lblOffset val="100"/>
        <c:noMultiLvlLbl val="0"/>
      </c:catAx>
      <c:valAx>
        <c:axId val="44009548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093312"/>
        <c:crosses val="autoZero"/>
        <c:crossBetween val="between"/>
      </c:valAx>
      <c:spPr>
        <a:noFill/>
        <a:ln>
          <a:noFill/>
        </a:ln>
        <a:effectLst/>
      </c:spPr>
    </c:plotArea>
    <c:legend>
      <c:legendPos val="r"/>
      <c:layout>
        <c:manualLayout>
          <c:xMode val="edge"/>
          <c:yMode val="edge"/>
          <c:x val="0.17236291813178373"/>
          <c:y val="0.77833151884953289"/>
          <c:w val="0.66340196669915275"/>
          <c:h val="0.144521765693799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Garamond" pitchFamily="18" charset="0"/>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Garamond" pitchFamily="18" charset="0"/>
                <a:ea typeface="+mn-ea"/>
                <a:cs typeface="+mn-cs"/>
              </a:defRPr>
            </a:pPr>
            <a:r>
              <a:rPr lang="en-US" sz="1100">
                <a:latin typeface="Garamond" pitchFamily="18" charset="0"/>
              </a:rPr>
              <a:t>NTA numbers </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 (2)'!$C$2:$F$2</c:f>
              <c:numCache>
                <c:formatCode>0</c:formatCode>
                <c:ptCount val="4"/>
                <c:pt idx="0">
                  <c:v>1394</c:v>
                </c:pt>
                <c:pt idx="1">
                  <c:v>1395</c:v>
                </c:pt>
                <c:pt idx="2">
                  <c:v>1396</c:v>
                </c:pt>
                <c:pt idx="3">
                  <c:v>1397</c:v>
                </c:pt>
              </c:numCache>
            </c:numRef>
          </c:cat>
          <c:val>
            <c:numRef>
              <c:f>'Sheet1 (2)'!$C$73:$F$73</c:f>
              <c:numCache>
                <c:formatCode>_(* #,##0_);_(* \(#,##0\);_(* "-"??_);_(@_)</c:formatCode>
                <c:ptCount val="4"/>
                <c:pt idx="0">
                  <c:v>12676</c:v>
                </c:pt>
                <c:pt idx="1">
                  <c:v>13932</c:v>
                </c:pt>
                <c:pt idx="2">
                  <c:v>20141</c:v>
                </c:pt>
                <c:pt idx="3">
                  <c:v>19160</c:v>
                </c:pt>
              </c:numCache>
            </c:numRef>
          </c:val>
          <c:extLst>
            <c:ext xmlns:c16="http://schemas.microsoft.com/office/drawing/2014/chart" uri="{C3380CC4-5D6E-409C-BE32-E72D297353CC}">
              <c16:uniqueId val="{00000000-23A9-4DB5-A591-2916ABBF09FE}"/>
            </c:ext>
          </c:extLst>
        </c:ser>
        <c:dLbls>
          <c:showLegendKey val="0"/>
          <c:showVal val="0"/>
          <c:showCatName val="0"/>
          <c:showSerName val="0"/>
          <c:showPercent val="0"/>
          <c:showBubbleSize val="0"/>
        </c:dLbls>
        <c:gapWidth val="219"/>
        <c:overlap val="-27"/>
        <c:axId val="440111872"/>
        <c:axId val="440113408"/>
      </c:barChart>
      <c:catAx>
        <c:axId val="44011187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113408"/>
        <c:crosses val="autoZero"/>
        <c:auto val="1"/>
        <c:lblAlgn val="ctr"/>
        <c:lblOffset val="100"/>
        <c:noMultiLvlLbl val="0"/>
      </c:catAx>
      <c:valAx>
        <c:axId val="44011340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111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6.0023313400486306E-2"/>
          <c:y val="0.1815403525659518"/>
          <c:w val="0.93733002993534076"/>
          <c:h val="0.60486044112512505"/>
        </c:manualLayout>
      </c:layout>
      <c:barChart>
        <c:barDir val="col"/>
        <c:grouping val="clustered"/>
        <c:varyColors val="0"/>
        <c:ser>
          <c:idx val="0"/>
          <c:order val="0"/>
          <c:tx>
            <c:strRef>
              <c:f>'C:\Users\sayed.naseer.ahmad\Desktop\Final 1398 National Budget to Cabinet\SOFT\Dair\Final budget book\second version\[Provincial Charts.xlsx]Exp by Province_Eng'!$T$2</c:f>
              <c:strCache>
                <c:ptCount val="1"/>
                <c:pt idx="0">
                  <c:v>1389</c:v>
                </c:pt>
              </c:strCache>
            </c:strRef>
          </c:tx>
          <c:invertIfNegative val="0"/>
          <c:cat>
            <c:strRef>
              <c:f>'C:\Users\sayed.naseer.ahmad\Desktop\Final 1398 National Budget to Cabinet\SOFT\Dair\Final budget book\second version\[Provincial Charts.xlsx]Exp by Province_Eng'!$S$3:$S$36</c:f>
              <c:strCache>
                <c:ptCount val="34"/>
                <c:pt idx="0">
                  <c:v>01 Kabul</c:v>
                </c:pt>
                <c:pt idx="1">
                  <c:v>06 Nangarhar</c:v>
                </c:pt>
                <c:pt idx="2">
                  <c:v>27 Kandahar</c:v>
                </c:pt>
                <c:pt idx="3">
                  <c:v>21 Balkh</c:v>
                </c:pt>
                <c:pt idx="4">
                  <c:v>32 Herat</c:v>
                </c:pt>
                <c:pt idx="5">
                  <c:v>13 Paktya</c:v>
                </c:pt>
                <c:pt idx="6">
                  <c:v>30 Helmand</c:v>
                </c:pt>
                <c:pt idx="7">
                  <c:v>17 Badakhshan</c:v>
                </c:pt>
                <c:pt idx="8">
                  <c:v>19 Kunduz</c:v>
                </c:pt>
                <c:pt idx="9">
                  <c:v>09 Baghlan</c:v>
                </c:pt>
                <c:pt idx="10">
                  <c:v>18 Takhar</c:v>
                </c:pt>
                <c:pt idx="11">
                  <c:v>03 Parwan</c:v>
                </c:pt>
                <c:pt idx="12">
                  <c:v>28 Jawzjan</c:v>
                </c:pt>
                <c:pt idx="13">
                  <c:v>10 Bamyan</c:v>
                </c:pt>
                <c:pt idx="14">
                  <c:v>11 Ghazni</c:v>
                </c:pt>
                <c:pt idx="15">
                  <c:v>29 Faryab</c:v>
                </c:pt>
                <c:pt idx="16">
                  <c:v>15 Kunarha</c:v>
                </c:pt>
                <c:pt idx="17">
                  <c:v>14 Khost</c:v>
                </c:pt>
                <c:pt idx="18">
                  <c:v>33 Farah</c:v>
                </c:pt>
                <c:pt idx="19">
                  <c:v>04 Wardak</c:v>
                </c:pt>
                <c:pt idx="20">
                  <c:v>02 Kapisa</c:v>
                </c:pt>
                <c:pt idx="21">
                  <c:v>12 Paktika</c:v>
                </c:pt>
                <c:pt idx="22">
                  <c:v>34 Nimroz</c:v>
                </c:pt>
                <c:pt idx="23">
                  <c:v>05 Logar</c:v>
                </c:pt>
                <c:pt idx="24">
                  <c:v>07 Laghman</c:v>
                </c:pt>
                <c:pt idx="25">
                  <c:v>22 Sar-E- Pul</c:v>
                </c:pt>
                <c:pt idx="26">
                  <c:v>23 Ghor</c:v>
                </c:pt>
                <c:pt idx="27">
                  <c:v>20 Samangan</c:v>
                </c:pt>
                <c:pt idx="28">
                  <c:v>24 Daykundi</c:v>
                </c:pt>
                <c:pt idx="29">
                  <c:v>26 Zabul</c:v>
                </c:pt>
                <c:pt idx="30">
                  <c:v>31 Badghis</c:v>
                </c:pt>
                <c:pt idx="31">
                  <c:v>25 Urozgan</c:v>
                </c:pt>
                <c:pt idx="32">
                  <c:v>16 Nooristan</c:v>
                </c:pt>
                <c:pt idx="33">
                  <c:v>08 Panjsher</c:v>
                </c:pt>
              </c:strCache>
            </c:strRef>
          </c:cat>
          <c:val>
            <c:numRef>
              <c:f>'C:\Users\sayed.naseer.ahmad\Desktop\Final 1398 National Budget to Cabinet\SOFT\Dair\Final budget book\second version\[Provincial Charts.xlsx]Exp by Province_Eng'!$T$3:$T$36</c:f>
              <c:numCache>
                <c:formatCode>General</c:formatCode>
                <c:ptCount val="34"/>
                <c:pt idx="0">
                  <c:v>13565.32831536</c:v>
                </c:pt>
                <c:pt idx="1">
                  <c:v>3963.5450682200003</c:v>
                </c:pt>
                <c:pt idx="2">
                  <c:v>7216.4820410299999</c:v>
                </c:pt>
                <c:pt idx="3">
                  <c:v>12108.035005220001</c:v>
                </c:pt>
                <c:pt idx="4">
                  <c:v>7023.5369469999996</c:v>
                </c:pt>
                <c:pt idx="5">
                  <c:v>5148.6801996599997</c:v>
                </c:pt>
                <c:pt idx="6">
                  <c:v>4852.4972212700004</c:v>
                </c:pt>
                <c:pt idx="7">
                  <c:v>2496.5945253</c:v>
                </c:pt>
                <c:pt idx="8">
                  <c:v>1861.2145724300001</c:v>
                </c:pt>
                <c:pt idx="9">
                  <c:v>2086.08748251</c:v>
                </c:pt>
                <c:pt idx="10">
                  <c:v>1871.1905092800002</c:v>
                </c:pt>
                <c:pt idx="11">
                  <c:v>1776.6797583699999</c:v>
                </c:pt>
                <c:pt idx="12">
                  <c:v>1369.5253110399999</c:v>
                </c:pt>
                <c:pt idx="13">
                  <c:v>3568.4973406599997</c:v>
                </c:pt>
                <c:pt idx="14">
                  <c:v>1833.0638583799998</c:v>
                </c:pt>
                <c:pt idx="15">
                  <c:v>2852.6424655800006</c:v>
                </c:pt>
                <c:pt idx="16">
                  <c:v>1342.8046066800002</c:v>
                </c:pt>
                <c:pt idx="17">
                  <c:v>1741.2095310699999</c:v>
                </c:pt>
                <c:pt idx="18">
                  <c:v>1177.5273923099999</c:v>
                </c:pt>
                <c:pt idx="19">
                  <c:v>1205.2905624899997</c:v>
                </c:pt>
                <c:pt idx="20">
                  <c:v>1269.3804633599998</c:v>
                </c:pt>
                <c:pt idx="21">
                  <c:v>1014.5607178900001</c:v>
                </c:pt>
                <c:pt idx="22">
                  <c:v>821.73380142999997</c:v>
                </c:pt>
                <c:pt idx="23">
                  <c:v>912.67823019000002</c:v>
                </c:pt>
                <c:pt idx="24">
                  <c:v>914.75344562999999</c:v>
                </c:pt>
                <c:pt idx="25">
                  <c:v>991.03449739000007</c:v>
                </c:pt>
                <c:pt idx="26">
                  <c:v>1135.7829978299999</c:v>
                </c:pt>
                <c:pt idx="27">
                  <c:v>963.7069054100001</c:v>
                </c:pt>
                <c:pt idx="28">
                  <c:v>702.11839558000008</c:v>
                </c:pt>
                <c:pt idx="29">
                  <c:v>649.98533172999998</c:v>
                </c:pt>
                <c:pt idx="30">
                  <c:v>931.12364896000008</c:v>
                </c:pt>
                <c:pt idx="31">
                  <c:v>1019.2186157899999</c:v>
                </c:pt>
                <c:pt idx="32">
                  <c:v>1056.16185369</c:v>
                </c:pt>
                <c:pt idx="33">
                  <c:v>559.43750020000004</c:v>
                </c:pt>
              </c:numCache>
            </c:numRef>
          </c:val>
          <c:extLst>
            <c:ext xmlns:c16="http://schemas.microsoft.com/office/drawing/2014/chart" uri="{C3380CC4-5D6E-409C-BE32-E72D297353CC}">
              <c16:uniqueId val="{00000000-1918-4EF4-B283-5E01BAC0304B}"/>
            </c:ext>
          </c:extLst>
        </c:ser>
        <c:ser>
          <c:idx val="1"/>
          <c:order val="1"/>
          <c:tx>
            <c:strRef>
              <c:f>'C:\Users\sayed.naseer.ahmad\Desktop\Final 1398 National Budget to Cabinet\SOFT\Dair\Final budget book\second version\[Provincial Charts.xlsx]Exp by Province_Eng'!$U$2</c:f>
              <c:strCache>
                <c:ptCount val="1"/>
                <c:pt idx="0">
                  <c:v>1390</c:v>
                </c:pt>
              </c:strCache>
            </c:strRef>
          </c:tx>
          <c:invertIfNegative val="0"/>
          <c:cat>
            <c:strRef>
              <c:f>'C:\Users\sayed.naseer.ahmad\Desktop\Final 1398 National Budget to Cabinet\SOFT\Dair\Final budget book\second version\[Provincial Charts.xlsx]Exp by Province_Eng'!$S$3:$S$36</c:f>
              <c:strCache>
                <c:ptCount val="34"/>
                <c:pt idx="0">
                  <c:v>01 Kabul</c:v>
                </c:pt>
                <c:pt idx="1">
                  <c:v>06 Nangarhar</c:v>
                </c:pt>
                <c:pt idx="2">
                  <c:v>27 Kandahar</c:v>
                </c:pt>
                <c:pt idx="3">
                  <c:v>21 Balkh</c:v>
                </c:pt>
                <c:pt idx="4">
                  <c:v>32 Herat</c:v>
                </c:pt>
                <c:pt idx="5">
                  <c:v>13 Paktya</c:v>
                </c:pt>
                <c:pt idx="6">
                  <c:v>30 Helmand</c:v>
                </c:pt>
                <c:pt idx="7">
                  <c:v>17 Badakhshan</c:v>
                </c:pt>
                <c:pt idx="8">
                  <c:v>19 Kunduz</c:v>
                </c:pt>
                <c:pt idx="9">
                  <c:v>09 Baghlan</c:v>
                </c:pt>
                <c:pt idx="10">
                  <c:v>18 Takhar</c:v>
                </c:pt>
                <c:pt idx="11">
                  <c:v>03 Parwan</c:v>
                </c:pt>
                <c:pt idx="12">
                  <c:v>28 Jawzjan</c:v>
                </c:pt>
                <c:pt idx="13">
                  <c:v>10 Bamyan</c:v>
                </c:pt>
                <c:pt idx="14">
                  <c:v>11 Ghazni</c:v>
                </c:pt>
                <c:pt idx="15">
                  <c:v>29 Faryab</c:v>
                </c:pt>
                <c:pt idx="16">
                  <c:v>15 Kunarha</c:v>
                </c:pt>
                <c:pt idx="17">
                  <c:v>14 Khost</c:v>
                </c:pt>
                <c:pt idx="18">
                  <c:v>33 Farah</c:v>
                </c:pt>
                <c:pt idx="19">
                  <c:v>04 Wardak</c:v>
                </c:pt>
                <c:pt idx="20">
                  <c:v>02 Kapisa</c:v>
                </c:pt>
                <c:pt idx="21">
                  <c:v>12 Paktika</c:v>
                </c:pt>
                <c:pt idx="22">
                  <c:v>34 Nimroz</c:v>
                </c:pt>
                <c:pt idx="23">
                  <c:v>05 Logar</c:v>
                </c:pt>
                <c:pt idx="24">
                  <c:v>07 Laghman</c:v>
                </c:pt>
                <c:pt idx="25">
                  <c:v>22 Sar-E- Pul</c:v>
                </c:pt>
                <c:pt idx="26">
                  <c:v>23 Ghor</c:v>
                </c:pt>
                <c:pt idx="27">
                  <c:v>20 Samangan</c:v>
                </c:pt>
                <c:pt idx="28">
                  <c:v>24 Daykundi</c:v>
                </c:pt>
                <c:pt idx="29">
                  <c:v>26 Zabul</c:v>
                </c:pt>
                <c:pt idx="30">
                  <c:v>31 Badghis</c:v>
                </c:pt>
                <c:pt idx="31">
                  <c:v>25 Urozgan</c:v>
                </c:pt>
                <c:pt idx="32">
                  <c:v>16 Nooristan</c:v>
                </c:pt>
                <c:pt idx="33">
                  <c:v>08 Panjsher</c:v>
                </c:pt>
              </c:strCache>
            </c:strRef>
          </c:cat>
          <c:val>
            <c:numRef>
              <c:f>'C:\Users\sayed.naseer.ahmad\Desktop\Final 1398 National Budget to Cabinet\SOFT\Dair\Final budget book\second version\[Provincial Charts.xlsx]Exp by Province_Eng'!$U$3:$U$36</c:f>
              <c:numCache>
                <c:formatCode>General</c:formatCode>
                <c:ptCount val="34"/>
                <c:pt idx="0">
                  <c:v>15785.026841090006</c:v>
                </c:pt>
                <c:pt idx="1">
                  <c:v>7887.6538091699986</c:v>
                </c:pt>
                <c:pt idx="2">
                  <c:v>9871.4348481700017</c:v>
                </c:pt>
                <c:pt idx="3">
                  <c:v>9804.756815939998</c:v>
                </c:pt>
                <c:pt idx="4">
                  <c:v>10064.390043179996</c:v>
                </c:pt>
                <c:pt idx="5">
                  <c:v>7094.1720534299993</c:v>
                </c:pt>
                <c:pt idx="6">
                  <c:v>7167.4611945900006</c:v>
                </c:pt>
                <c:pt idx="7">
                  <c:v>3224.92042941</c:v>
                </c:pt>
                <c:pt idx="8">
                  <c:v>2349.3765178599997</c:v>
                </c:pt>
                <c:pt idx="9">
                  <c:v>2503.3468272200003</c:v>
                </c:pt>
                <c:pt idx="10">
                  <c:v>2634.4428028100006</c:v>
                </c:pt>
                <c:pt idx="11">
                  <c:v>2121.8245158600002</c:v>
                </c:pt>
                <c:pt idx="12">
                  <c:v>1664.2905977600001</c:v>
                </c:pt>
                <c:pt idx="13">
                  <c:v>2889.4420445200003</c:v>
                </c:pt>
                <c:pt idx="14">
                  <c:v>2480.6996365099999</c:v>
                </c:pt>
                <c:pt idx="15">
                  <c:v>3368.6290641099999</c:v>
                </c:pt>
                <c:pt idx="16">
                  <c:v>1905.4970288500001</c:v>
                </c:pt>
                <c:pt idx="17">
                  <c:v>1719.9594237400001</c:v>
                </c:pt>
                <c:pt idx="18">
                  <c:v>1615.1288549999999</c:v>
                </c:pt>
                <c:pt idx="19">
                  <c:v>1583.4324134000001</c:v>
                </c:pt>
                <c:pt idx="20">
                  <c:v>1387.54628017</c:v>
                </c:pt>
                <c:pt idx="21">
                  <c:v>1301.41747579</c:v>
                </c:pt>
                <c:pt idx="22">
                  <c:v>1233.19963246</c:v>
                </c:pt>
                <c:pt idx="23">
                  <c:v>1252.4227275999999</c:v>
                </c:pt>
                <c:pt idx="24">
                  <c:v>1367.58008645</c:v>
                </c:pt>
                <c:pt idx="25">
                  <c:v>1200.7105331399998</c:v>
                </c:pt>
                <c:pt idx="26">
                  <c:v>2313.1265166100002</c:v>
                </c:pt>
                <c:pt idx="27">
                  <c:v>979.29494124999997</c:v>
                </c:pt>
                <c:pt idx="28">
                  <c:v>940.02780644000006</c:v>
                </c:pt>
                <c:pt idx="29">
                  <c:v>827.28103164000015</c:v>
                </c:pt>
                <c:pt idx="30">
                  <c:v>4457.9775843199996</c:v>
                </c:pt>
                <c:pt idx="31">
                  <c:v>1306.8176272400001</c:v>
                </c:pt>
                <c:pt idx="32">
                  <c:v>1198.9415693200001</c:v>
                </c:pt>
                <c:pt idx="33">
                  <c:v>788.61302850000004</c:v>
                </c:pt>
              </c:numCache>
            </c:numRef>
          </c:val>
          <c:extLst>
            <c:ext xmlns:c16="http://schemas.microsoft.com/office/drawing/2014/chart" uri="{C3380CC4-5D6E-409C-BE32-E72D297353CC}">
              <c16:uniqueId val="{00000001-1918-4EF4-B283-5E01BAC0304B}"/>
            </c:ext>
          </c:extLst>
        </c:ser>
        <c:ser>
          <c:idx val="2"/>
          <c:order val="2"/>
          <c:tx>
            <c:strRef>
              <c:f>'C:\Users\sayed.naseer.ahmad\Desktop\Final 1398 National Budget to Cabinet\SOFT\Dair\Final budget book\second version\[Provincial Charts.xlsx]Exp by Province_Eng'!$V$2</c:f>
              <c:strCache>
                <c:ptCount val="1"/>
                <c:pt idx="0">
                  <c:v>1391</c:v>
                </c:pt>
              </c:strCache>
            </c:strRef>
          </c:tx>
          <c:invertIfNegative val="0"/>
          <c:cat>
            <c:strRef>
              <c:f>'C:\Users\sayed.naseer.ahmad\Desktop\Final 1398 National Budget to Cabinet\SOFT\Dair\Final budget book\second version\[Provincial Charts.xlsx]Exp by Province_Eng'!$S$3:$S$36</c:f>
              <c:strCache>
                <c:ptCount val="34"/>
                <c:pt idx="0">
                  <c:v>01 Kabul</c:v>
                </c:pt>
                <c:pt idx="1">
                  <c:v>06 Nangarhar</c:v>
                </c:pt>
                <c:pt idx="2">
                  <c:v>27 Kandahar</c:v>
                </c:pt>
                <c:pt idx="3">
                  <c:v>21 Balkh</c:v>
                </c:pt>
                <c:pt idx="4">
                  <c:v>32 Herat</c:v>
                </c:pt>
                <c:pt idx="5">
                  <c:v>13 Paktya</c:v>
                </c:pt>
                <c:pt idx="6">
                  <c:v>30 Helmand</c:v>
                </c:pt>
                <c:pt idx="7">
                  <c:v>17 Badakhshan</c:v>
                </c:pt>
                <c:pt idx="8">
                  <c:v>19 Kunduz</c:v>
                </c:pt>
                <c:pt idx="9">
                  <c:v>09 Baghlan</c:v>
                </c:pt>
                <c:pt idx="10">
                  <c:v>18 Takhar</c:v>
                </c:pt>
                <c:pt idx="11">
                  <c:v>03 Parwan</c:v>
                </c:pt>
                <c:pt idx="12">
                  <c:v>28 Jawzjan</c:v>
                </c:pt>
                <c:pt idx="13">
                  <c:v>10 Bamyan</c:v>
                </c:pt>
                <c:pt idx="14">
                  <c:v>11 Ghazni</c:v>
                </c:pt>
                <c:pt idx="15">
                  <c:v>29 Faryab</c:v>
                </c:pt>
                <c:pt idx="16">
                  <c:v>15 Kunarha</c:v>
                </c:pt>
                <c:pt idx="17">
                  <c:v>14 Khost</c:v>
                </c:pt>
                <c:pt idx="18">
                  <c:v>33 Farah</c:v>
                </c:pt>
                <c:pt idx="19">
                  <c:v>04 Wardak</c:v>
                </c:pt>
                <c:pt idx="20">
                  <c:v>02 Kapisa</c:v>
                </c:pt>
                <c:pt idx="21">
                  <c:v>12 Paktika</c:v>
                </c:pt>
                <c:pt idx="22">
                  <c:v>34 Nimroz</c:v>
                </c:pt>
                <c:pt idx="23">
                  <c:v>05 Logar</c:v>
                </c:pt>
                <c:pt idx="24">
                  <c:v>07 Laghman</c:v>
                </c:pt>
                <c:pt idx="25">
                  <c:v>22 Sar-E- Pul</c:v>
                </c:pt>
                <c:pt idx="26">
                  <c:v>23 Ghor</c:v>
                </c:pt>
                <c:pt idx="27">
                  <c:v>20 Samangan</c:v>
                </c:pt>
                <c:pt idx="28">
                  <c:v>24 Daykundi</c:v>
                </c:pt>
                <c:pt idx="29">
                  <c:v>26 Zabul</c:v>
                </c:pt>
                <c:pt idx="30">
                  <c:v>31 Badghis</c:v>
                </c:pt>
                <c:pt idx="31">
                  <c:v>25 Urozgan</c:v>
                </c:pt>
                <c:pt idx="32">
                  <c:v>16 Nooristan</c:v>
                </c:pt>
                <c:pt idx="33">
                  <c:v>08 Panjsher</c:v>
                </c:pt>
              </c:strCache>
            </c:strRef>
          </c:cat>
          <c:val>
            <c:numRef>
              <c:f>'C:\Users\sayed.naseer.ahmad\Desktop\Final 1398 National Budget to Cabinet\SOFT\Dair\Final budget book\second version\[Provincial Charts.xlsx]Exp by Province_Eng'!$V$3:$V$36</c:f>
              <c:numCache>
                <c:formatCode>General</c:formatCode>
                <c:ptCount val="34"/>
                <c:pt idx="0">
                  <c:v>14591.671032750002</c:v>
                </c:pt>
                <c:pt idx="1">
                  <c:v>7893.6732040600018</c:v>
                </c:pt>
                <c:pt idx="2">
                  <c:v>9445.568905959999</c:v>
                </c:pt>
                <c:pt idx="3">
                  <c:v>11713.686168289996</c:v>
                </c:pt>
                <c:pt idx="4">
                  <c:v>10584.079330049999</c:v>
                </c:pt>
                <c:pt idx="5">
                  <c:v>7401.5031413699999</c:v>
                </c:pt>
                <c:pt idx="6">
                  <c:v>7239.9418070200009</c:v>
                </c:pt>
                <c:pt idx="7">
                  <c:v>3431.3177836200007</c:v>
                </c:pt>
                <c:pt idx="8">
                  <c:v>2269.03292362</c:v>
                </c:pt>
                <c:pt idx="9">
                  <c:v>2655.1134037100001</c:v>
                </c:pt>
                <c:pt idx="10">
                  <c:v>2342.4359193999999</c:v>
                </c:pt>
                <c:pt idx="11">
                  <c:v>2734.4570774100007</c:v>
                </c:pt>
                <c:pt idx="12">
                  <c:v>1612.5001059599997</c:v>
                </c:pt>
                <c:pt idx="13">
                  <c:v>2455.0615429799996</c:v>
                </c:pt>
                <c:pt idx="14">
                  <c:v>2339.9693543000003</c:v>
                </c:pt>
                <c:pt idx="15">
                  <c:v>7094.9498007199991</c:v>
                </c:pt>
                <c:pt idx="16">
                  <c:v>1449.7701094700001</c:v>
                </c:pt>
                <c:pt idx="17">
                  <c:v>1592.2759296300003</c:v>
                </c:pt>
                <c:pt idx="18">
                  <c:v>1525.07272257</c:v>
                </c:pt>
                <c:pt idx="19">
                  <c:v>1336.9755295800001</c:v>
                </c:pt>
                <c:pt idx="20">
                  <c:v>1309.7389510400003</c:v>
                </c:pt>
                <c:pt idx="21">
                  <c:v>1156.0624943599998</c:v>
                </c:pt>
                <c:pt idx="22">
                  <c:v>1438.64295526</c:v>
                </c:pt>
                <c:pt idx="23">
                  <c:v>1039.7035133300001</c:v>
                </c:pt>
                <c:pt idx="24">
                  <c:v>1199.5662546799999</c:v>
                </c:pt>
                <c:pt idx="25">
                  <c:v>1282.9138768099999</c:v>
                </c:pt>
                <c:pt idx="26">
                  <c:v>1758.9385534700002</c:v>
                </c:pt>
                <c:pt idx="27">
                  <c:v>911.62380000999997</c:v>
                </c:pt>
                <c:pt idx="28">
                  <c:v>893.94099922999999</c:v>
                </c:pt>
                <c:pt idx="29">
                  <c:v>837.74152235999998</c:v>
                </c:pt>
                <c:pt idx="30">
                  <c:v>1438.0153213600001</c:v>
                </c:pt>
                <c:pt idx="31">
                  <c:v>1492.2999996999999</c:v>
                </c:pt>
                <c:pt idx="32">
                  <c:v>927.23998503000007</c:v>
                </c:pt>
                <c:pt idx="33">
                  <c:v>835.52263274000006</c:v>
                </c:pt>
              </c:numCache>
            </c:numRef>
          </c:val>
          <c:extLst>
            <c:ext xmlns:c16="http://schemas.microsoft.com/office/drawing/2014/chart" uri="{C3380CC4-5D6E-409C-BE32-E72D297353CC}">
              <c16:uniqueId val="{00000002-1918-4EF4-B283-5E01BAC0304B}"/>
            </c:ext>
          </c:extLst>
        </c:ser>
        <c:ser>
          <c:idx val="3"/>
          <c:order val="3"/>
          <c:tx>
            <c:strRef>
              <c:f>'C:\Users\sayed.naseer.ahmad\Desktop\Final 1398 National Budget to Cabinet\SOFT\Dair\Final budget book\second version\[Provincial Charts.xlsx]Exp by Province_Eng'!$W$2</c:f>
              <c:strCache>
                <c:ptCount val="1"/>
                <c:pt idx="0">
                  <c:v>1392</c:v>
                </c:pt>
              </c:strCache>
            </c:strRef>
          </c:tx>
          <c:invertIfNegative val="0"/>
          <c:cat>
            <c:strRef>
              <c:f>'C:\Users\sayed.naseer.ahmad\Desktop\Final 1398 National Budget to Cabinet\SOFT\Dair\Final budget book\second version\[Provincial Charts.xlsx]Exp by Province_Eng'!$S$3:$S$36</c:f>
              <c:strCache>
                <c:ptCount val="34"/>
                <c:pt idx="0">
                  <c:v>01 Kabul</c:v>
                </c:pt>
                <c:pt idx="1">
                  <c:v>06 Nangarhar</c:v>
                </c:pt>
                <c:pt idx="2">
                  <c:v>27 Kandahar</c:v>
                </c:pt>
                <c:pt idx="3">
                  <c:v>21 Balkh</c:v>
                </c:pt>
                <c:pt idx="4">
                  <c:v>32 Herat</c:v>
                </c:pt>
                <c:pt idx="5">
                  <c:v>13 Paktya</c:v>
                </c:pt>
                <c:pt idx="6">
                  <c:v>30 Helmand</c:v>
                </c:pt>
                <c:pt idx="7">
                  <c:v>17 Badakhshan</c:v>
                </c:pt>
                <c:pt idx="8">
                  <c:v>19 Kunduz</c:v>
                </c:pt>
                <c:pt idx="9">
                  <c:v>09 Baghlan</c:v>
                </c:pt>
                <c:pt idx="10">
                  <c:v>18 Takhar</c:v>
                </c:pt>
                <c:pt idx="11">
                  <c:v>03 Parwan</c:v>
                </c:pt>
                <c:pt idx="12">
                  <c:v>28 Jawzjan</c:v>
                </c:pt>
                <c:pt idx="13">
                  <c:v>10 Bamyan</c:v>
                </c:pt>
                <c:pt idx="14">
                  <c:v>11 Ghazni</c:v>
                </c:pt>
                <c:pt idx="15">
                  <c:v>29 Faryab</c:v>
                </c:pt>
                <c:pt idx="16">
                  <c:v>15 Kunarha</c:v>
                </c:pt>
                <c:pt idx="17">
                  <c:v>14 Khost</c:v>
                </c:pt>
                <c:pt idx="18">
                  <c:v>33 Farah</c:v>
                </c:pt>
                <c:pt idx="19">
                  <c:v>04 Wardak</c:v>
                </c:pt>
                <c:pt idx="20">
                  <c:v>02 Kapisa</c:v>
                </c:pt>
                <c:pt idx="21">
                  <c:v>12 Paktika</c:v>
                </c:pt>
                <c:pt idx="22">
                  <c:v>34 Nimroz</c:v>
                </c:pt>
                <c:pt idx="23">
                  <c:v>05 Logar</c:v>
                </c:pt>
                <c:pt idx="24">
                  <c:v>07 Laghman</c:v>
                </c:pt>
                <c:pt idx="25">
                  <c:v>22 Sar-E- Pul</c:v>
                </c:pt>
                <c:pt idx="26">
                  <c:v>23 Ghor</c:v>
                </c:pt>
                <c:pt idx="27">
                  <c:v>20 Samangan</c:v>
                </c:pt>
                <c:pt idx="28">
                  <c:v>24 Daykundi</c:v>
                </c:pt>
                <c:pt idx="29">
                  <c:v>26 Zabul</c:v>
                </c:pt>
                <c:pt idx="30">
                  <c:v>31 Badghis</c:v>
                </c:pt>
                <c:pt idx="31">
                  <c:v>25 Urozgan</c:v>
                </c:pt>
                <c:pt idx="32">
                  <c:v>16 Nooristan</c:v>
                </c:pt>
                <c:pt idx="33">
                  <c:v>08 Panjsher</c:v>
                </c:pt>
              </c:strCache>
            </c:strRef>
          </c:cat>
          <c:val>
            <c:numRef>
              <c:f>'C:\Users\sayed.naseer.ahmad\Desktop\Final 1398 National Budget to Cabinet\SOFT\Dair\Final budget book\second version\[Provincial Charts.xlsx]Exp by Province_Eng'!$W$3:$W$36</c:f>
              <c:numCache>
                <c:formatCode>General</c:formatCode>
                <c:ptCount val="34"/>
                <c:pt idx="0">
                  <c:v>14743.564498600001</c:v>
                </c:pt>
                <c:pt idx="1">
                  <c:v>13088.282634060002</c:v>
                </c:pt>
                <c:pt idx="2">
                  <c:v>13658.4982975</c:v>
                </c:pt>
                <c:pt idx="3">
                  <c:v>15540.973031829997</c:v>
                </c:pt>
                <c:pt idx="4">
                  <c:v>13544.140521340005</c:v>
                </c:pt>
                <c:pt idx="5">
                  <c:v>10690.01723492</c:v>
                </c:pt>
                <c:pt idx="6">
                  <c:v>10942.150628239999</c:v>
                </c:pt>
                <c:pt idx="7">
                  <c:v>5633.6662888399997</c:v>
                </c:pt>
                <c:pt idx="8">
                  <c:v>4225.8669719299996</c:v>
                </c:pt>
                <c:pt idx="9">
                  <c:v>4511.8652882099987</c:v>
                </c:pt>
                <c:pt idx="10">
                  <c:v>4900.46582098</c:v>
                </c:pt>
                <c:pt idx="11">
                  <c:v>3289.6006968199995</c:v>
                </c:pt>
                <c:pt idx="12">
                  <c:v>2544.80492856</c:v>
                </c:pt>
                <c:pt idx="13">
                  <c:v>3203.6331510699997</c:v>
                </c:pt>
                <c:pt idx="14">
                  <c:v>4142.2777554499999</c:v>
                </c:pt>
                <c:pt idx="15">
                  <c:v>3495.4467302799994</c:v>
                </c:pt>
                <c:pt idx="16">
                  <c:v>2269.9673676299999</c:v>
                </c:pt>
                <c:pt idx="17">
                  <c:v>2479.1905303099998</c:v>
                </c:pt>
                <c:pt idx="18">
                  <c:v>2339.8832540200001</c:v>
                </c:pt>
                <c:pt idx="19">
                  <c:v>2688.2785402099998</c:v>
                </c:pt>
                <c:pt idx="20">
                  <c:v>2362.7196025300004</c:v>
                </c:pt>
                <c:pt idx="21">
                  <c:v>1873.0947932700001</c:v>
                </c:pt>
                <c:pt idx="22">
                  <c:v>1828.20700184</c:v>
                </c:pt>
                <c:pt idx="23">
                  <c:v>1827.0807885300001</c:v>
                </c:pt>
                <c:pt idx="24">
                  <c:v>1930.6053417000001</c:v>
                </c:pt>
                <c:pt idx="25">
                  <c:v>2371.1525089499996</c:v>
                </c:pt>
                <c:pt idx="26">
                  <c:v>2371.3158545800002</c:v>
                </c:pt>
                <c:pt idx="27">
                  <c:v>2425.6706634000002</c:v>
                </c:pt>
                <c:pt idx="28">
                  <c:v>1561.3116416800001</c:v>
                </c:pt>
                <c:pt idx="29">
                  <c:v>1441.0313850999999</c:v>
                </c:pt>
                <c:pt idx="30">
                  <c:v>4229.1282733400003</c:v>
                </c:pt>
                <c:pt idx="31">
                  <c:v>2206.0311772700002</c:v>
                </c:pt>
                <c:pt idx="32">
                  <c:v>1385.4560658</c:v>
                </c:pt>
                <c:pt idx="33">
                  <c:v>1474.5148494600001</c:v>
                </c:pt>
              </c:numCache>
            </c:numRef>
          </c:val>
          <c:extLst>
            <c:ext xmlns:c16="http://schemas.microsoft.com/office/drawing/2014/chart" uri="{C3380CC4-5D6E-409C-BE32-E72D297353CC}">
              <c16:uniqueId val="{00000003-1918-4EF4-B283-5E01BAC0304B}"/>
            </c:ext>
          </c:extLst>
        </c:ser>
        <c:ser>
          <c:idx val="4"/>
          <c:order val="4"/>
          <c:tx>
            <c:strRef>
              <c:f>'C:\Users\sayed.naseer.ahmad\Desktop\Final 1398 National Budget to Cabinet\SOFT\Dair\Final budget book\second version\[Provincial Charts.xlsx]Exp by Province_Eng'!$X$2</c:f>
              <c:strCache>
                <c:ptCount val="1"/>
                <c:pt idx="0">
                  <c:v>1393</c:v>
                </c:pt>
              </c:strCache>
            </c:strRef>
          </c:tx>
          <c:invertIfNegative val="0"/>
          <c:cat>
            <c:strRef>
              <c:f>'C:\Users\sayed.naseer.ahmad\Desktop\Final 1398 National Budget to Cabinet\SOFT\Dair\Final budget book\second version\[Provincial Charts.xlsx]Exp by Province_Eng'!$S$3:$S$36</c:f>
              <c:strCache>
                <c:ptCount val="34"/>
                <c:pt idx="0">
                  <c:v>01 Kabul</c:v>
                </c:pt>
                <c:pt idx="1">
                  <c:v>06 Nangarhar</c:v>
                </c:pt>
                <c:pt idx="2">
                  <c:v>27 Kandahar</c:v>
                </c:pt>
                <c:pt idx="3">
                  <c:v>21 Balkh</c:v>
                </c:pt>
                <c:pt idx="4">
                  <c:v>32 Herat</c:v>
                </c:pt>
                <c:pt idx="5">
                  <c:v>13 Paktya</c:v>
                </c:pt>
                <c:pt idx="6">
                  <c:v>30 Helmand</c:v>
                </c:pt>
                <c:pt idx="7">
                  <c:v>17 Badakhshan</c:v>
                </c:pt>
                <c:pt idx="8">
                  <c:v>19 Kunduz</c:v>
                </c:pt>
                <c:pt idx="9">
                  <c:v>09 Baghlan</c:v>
                </c:pt>
                <c:pt idx="10">
                  <c:v>18 Takhar</c:v>
                </c:pt>
                <c:pt idx="11">
                  <c:v>03 Parwan</c:v>
                </c:pt>
                <c:pt idx="12">
                  <c:v>28 Jawzjan</c:v>
                </c:pt>
                <c:pt idx="13">
                  <c:v>10 Bamyan</c:v>
                </c:pt>
                <c:pt idx="14">
                  <c:v>11 Ghazni</c:v>
                </c:pt>
                <c:pt idx="15">
                  <c:v>29 Faryab</c:v>
                </c:pt>
                <c:pt idx="16">
                  <c:v>15 Kunarha</c:v>
                </c:pt>
                <c:pt idx="17">
                  <c:v>14 Khost</c:v>
                </c:pt>
                <c:pt idx="18">
                  <c:v>33 Farah</c:v>
                </c:pt>
                <c:pt idx="19">
                  <c:v>04 Wardak</c:v>
                </c:pt>
                <c:pt idx="20">
                  <c:v>02 Kapisa</c:v>
                </c:pt>
                <c:pt idx="21">
                  <c:v>12 Paktika</c:v>
                </c:pt>
                <c:pt idx="22">
                  <c:v>34 Nimroz</c:v>
                </c:pt>
                <c:pt idx="23">
                  <c:v>05 Logar</c:v>
                </c:pt>
                <c:pt idx="24">
                  <c:v>07 Laghman</c:v>
                </c:pt>
                <c:pt idx="25">
                  <c:v>22 Sar-E- Pul</c:v>
                </c:pt>
                <c:pt idx="26">
                  <c:v>23 Ghor</c:v>
                </c:pt>
                <c:pt idx="27">
                  <c:v>20 Samangan</c:v>
                </c:pt>
                <c:pt idx="28">
                  <c:v>24 Daykundi</c:v>
                </c:pt>
                <c:pt idx="29">
                  <c:v>26 Zabul</c:v>
                </c:pt>
                <c:pt idx="30">
                  <c:v>31 Badghis</c:v>
                </c:pt>
                <c:pt idx="31">
                  <c:v>25 Urozgan</c:v>
                </c:pt>
                <c:pt idx="32">
                  <c:v>16 Nooristan</c:v>
                </c:pt>
                <c:pt idx="33">
                  <c:v>08 Panjsher</c:v>
                </c:pt>
              </c:strCache>
            </c:strRef>
          </c:cat>
          <c:val>
            <c:numRef>
              <c:f>'C:\Users\sayed.naseer.ahmad\Desktop\Final 1398 National Budget to Cabinet\SOFT\Dair\Final budget book\second version\[Provincial Charts.xlsx]Exp by Province_Eng'!$X$3:$X$36</c:f>
              <c:numCache>
                <c:formatCode>General</c:formatCode>
                <c:ptCount val="34"/>
                <c:pt idx="0">
                  <c:v>13660.713570419997</c:v>
                </c:pt>
                <c:pt idx="1">
                  <c:v>14006.739387720005</c:v>
                </c:pt>
                <c:pt idx="2">
                  <c:v>14614.255568610002</c:v>
                </c:pt>
                <c:pt idx="3">
                  <c:v>15197.888413630002</c:v>
                </c:pt>
                <c:pt idx="4">
                  <c:v>13879.41847267</c:v>
                </c:pt>
                <c:pt idx="5">
                  <c:v>11648.721054129999</c:v>
                </c:pt>
                <c:pt idx="6">
                  <c:v>12397.566034140002</c:v>
                </c:pt>
                <c:pt idx="7">
                  <c:v>4182.12813224</c:v>
                </c:pt>
                <c:pt idx="8">
                  <c:v>3637.8673143299998</c:v>
                </c:pt>
                <c:pt idx="9">
                  <c:v>4664.7010831199987</c:v>
                </c:pt>
                <c:pt idx="10">
                  <c:v>3603.8456852199997</c:v>
                </c:pt>
                <c:pt idx="11">
                  <c:v>3288.7701449800006</c:v>
                </c:pt>
                <c:pt idx="12">
                  <c:v>2349.7239947000003</c:v>
                </c:pt>
                <c:pt idx="13">
                  <c:v>2589.0751110799997</c:v>
                </c:pt>
                <c:pt idx="14">
                  <c:v>3524.1039913399995</c:v>
                </c:pt>
                <c:pt idx="15">
                  <c:v>3417.2444382899998</c:v>
                </c:pt>
                <c:pt idx="16">
                  <c:v>2473.61057398</c:v>
                </c:pt>
                <c:pt idx="17">
                  <c:v>2567.30588988</c:v>
                </c:pt>
                <c:pt idx="18">
                  <c:v>2179.4745637300002</c:v>
                </c:pt>
                <c:pt idx="19">
                  <c:v>2372.1901836099996</c:v>
                </c:pt>
                <c:pt idx="20">
                  <c:v>2362.6413338300003</c:v>
                </c:pt>
                <c:pt idx="21">
                  <c:v>2315.9537884700003</c:v>
                </c:pt>
                <c:pt idx="22">
                  <c:v>1594.4463793300001</c:v>
                </c:pt>
                <c:pt idx="23">
                  <c:v>1991.4208947800003</c:v>
                </c:pt>
                <c:pt idx="24">
                  <c:v>2178.6046938200002</c:v>
                </c:pt>
                <c:pt idx="25">
                  <c:v>2226.1215619999998</c:v>
                </c:pt>
                <c:pt idx="26">
                  <c:v>2293.3408305500002</c:v>
                </c:pt>
                <c:pt idx="27">
                  <c:v>1729.0804029900003</c:v>
                </c:pt>
                <c:pt idx="28">
                  <c:v>1566.59217055</c:v>
                </c:pt>
                <c:pt idx="29">
                  <c:v>1819.30816125</c:v>
                </c:pt>
                <c:pt idx="30">
                  <c:v>3251.4759130499997</c:v>
                </c:pt>
                <c:pt idx="31">
                  <c:v>2014.7859933799998</c:v>
                </c:pt>
                <c:pt idx="32">
                  <c:v>1506.64348324</c:v>
                </c:pt>
                <c:pt idx="33">
                  <c:v>1382.9862207000001</c:v>
                </c:pt>
              </c:numCache>
            </c:numRef>
          </c:val>
          <c:extLst>
            <c:ext xmlns:c16="http://schemas.microsoft.com/office/drawing/2014/chart" uri="{C3380CC4-5D6E-409C-BE32-E72D297353CC}">
              <c16:uniqueId val="{00000004-1918-4EF4-B283-5E01BAC0304B}"/>
            </c:ext>
          </c:extLst>
        </c:ser>
        <c:ser>
          <c:idx val="5"/>
          <c:order val="5"/>
          <c:tx>
            <c:strRef>
              <c:f>'[Tashkeel in English .xlsx]Graph - Exp by Province_Dari-9'!$Y$2</c:f>
              <c:strCache>
                <c:ptCount val="1"/>
                <c:pt idx="0">
                  <c:v>1394</c:v>
                </c:pt>
              </c:strCache>
            </c:strRef>
          </c:tx>
          <c:invertIfNegative val="0"/>
          <c:cat>
            <c:strRef>
              <c:f>'[Tashkeel in English .xlsx]Graph - Exp by Province_Dari-9'!$S$3:$S$36</c:f>
              <c:strCache>
                <c:ptCount val="34"/>
                <c:pt idx="0">
                  <c:v>01 کابل</c:v>
                </c:pt>
                <c:pt idx="1">
                  <c:v>06 ننگرهار</c:v>
                </c:pt>
                <c:pt idx="2">
                  <c:v>27 کندهار</c:v>
                </c:pt>
                <c:pt idx="3">
                  <c:v>21 بلخ</c:v>
                </c:pt>
                <c:pt idx="4">
                  <c:v>32 هرات</c:v>
                </c:pt>
                <c:pt idx="5">
                  <c:v>13 پکتیا</c:v>
                </c:pt>
                <c:pt idx="6">
                  <c:v>30 هلمند</c:v>
                </c:pt>
                <c:pt idx="7">
                  <c:v>17 بدخشان</c:v>
                </c:pt>
                <c:pt idx="8">
                  <c:v>19 کندز</c:v>
                </c:pt>
                <c:pt idx="9">
                  <c:v>09 بغدلان</c:v>
                </c:pt>
                <c:pt idx="10">
                  <c:v>18 تخار</c:v>
                </c:pt>
                <c:pt idx="11">
                  <c:v>03 پروان</c:v>
                </c:pt>
                <c:pt idx="12">
                  <c:v>28 جوزجان</c:v>
                </c:pt>
                <c:pt idx="13">
                  <c:v>10 بامیان </c:v>
                </c:pt>
                <c:pt idx="14">
                  <c:v>11 غزنی</c:v>
                </c:pt>
                <c:pt idx="15">
                  <c:v>29 فاریاب</c:v>
                </c:pt>
                <c:pt idx="16">
                  <c:v>15 کنر</c:v>
                </c:pt>
                <c:pt idx="17">
                  <c:v>14 خوست</c:v>
                </c:pt>
                <c:pt idx="18">
                  <c:v>33 فراه </c:v>
                </c:pt>
                <c:pt idx="19">
                  <c:v>04 وردک</c:v>
                </c:pt>
                <c:pt idx="20">
                  <c:v>02 کاپیسا</c:v>
                </c:pt>
                <c:pt idx="21">
                  <c:v>12پکتیکا </c:v>
                </c:pt>
                <c:pt idx="22">
                  <c:v>34 نیمروز</c:v>
                </c:pt>
                <c:pt idx="23">
                  <c:v>05 لوگر</c:v>
                </c:pt>
                <c:pt idx="24">
                  <c:v>07 لغمان</c:v>
                </c:pt>
                <c:pt idx="25">
                  <c:v>22 سر پل</c:v>
                </c:pt>
                <c:pt idx="26">
                  <c:v>23 غور</c:v>
                </c:pt>
                <c:pt idx="27">
                  <c:v>20 سمنگان</c:v>
                </c:pt>
                <c:pt idx="28">
                  <c:v>24 دایکندی</c:v>
                </c:pt>
                <c:pt idx="29">
                  <c:v>26 زابل</c:v>
                </c:pt>
                <c:pt idx="30">
                  <c:v>31 بادغیس</c:v>
                </c:pt>
                <c:pt idx="31">
                  <c:v>25 ارزگان</c:v>
                </c:pt>
                <c:pt idx="32">
                  <c:v>16 نورستان</c:v>
                </c:pt>
                <c:pt idx="33">
                  <c:v>08 پنجشیر</c:v>
                </c:pt>
              </c:strCache>
            </c:strRef>
          </c:cat>
          <c:val>
            <c:numRef>
              <c:f>'[Tashkeel in English .xlsx]Graph - Exp by Province_Dari-9'!$Y$3:$Y$36</c:f>
              <c:numCache>
                <c:formatCode>_-* #,##0_-;\-* #,##0_-;_-* "-"??_-;_-@_-</c:formatCode>
                <c:ptCount val="34"/>
                <c:pt idx="0">
                  <c:v>20132.427358560002</c:v>
                </c:pt>
                <c:pt idx="1">
                  <c:v>15657.49243789</c:v>
                </c:pt>
                <c:pt idx="2">
                  <c:v>14443.955403110001</c:v>
                </c:pt>
                <c:pt idx="3">
                  <c:v>15171.988605300006</c:v>
                </c:pt>
                <c:pt idx="4">
                  <c:v>14328.610781429996</c:v>
                </c:pt>
                <c:pt idx="5">
                  <c:v>11863.756954100001</c:v>
                </c:pt>
                <c:pt idx="6">
                  <c:v>13375.53862524</c:v>
                </c:pt>
                <c:pt idx="7">
                  <c:v>5903.7783726599991</c:v>
                </c:pt>
                <c:pt idx="8">
                  <c:v>6114.887043140001</c:v>
                </c:pt>
                <c:pt idx="9">
                  <c:v>5630.0989586599981</c:v>
                </c:pt>
                <c:pt idx="10">
                  <c:v>4478.0854296400012</c:v>
                </c:pt>
                <c:pt idx="11">
                  <c:v>4183.4095383399999</c:v>
                </c:pt>
                <c:pt idx="12">
                  <c:v>4465.1286890200008</c:v>
                </c:pt>
                <c:pt idx="13">
                  <c:v>3408.844329640001</c:v>
                </c:pt>
                <c:pt idx="14">
                  <c:v>5187.5747030799976</c:v>
                </c:pt>
                <c:pt idx="15">
                  <c:v>3829.7489523300001</c:v>
                </c:pt>
                <c:pt idx="16">
                  <c:v>3185.1914086300003</c:v>
                </c:pt>
                <c:pt idx="17">
                  <c:v>3239.1690691500003</c:v>
                </c:pt>
                <c:pt idx="18">
                  <c:v>3053.5012096700007</c:v>
                </c:pt>
                <c:pt idx="19">
                  <c:v>3264.6896447700005</c:v>
                </c:pt>
                <c:pt idx="20">
                  <c:v>3280.2063776900004</c:v>
                </c:pt>
                <c:pt idx="21">
                  <c:v>2559.86257075</c:v>
                </c:pt>
                <c:pt idx="22">
                  <c:v>2645.06964272</c:v>
                </c:pt>
                <c:pt idx="23">
                  <c:v>2640.7296906199999</c:v>
                </c:pt>
                <c:pt idx="24">
                  <c:v>2896.9937215099999</c:v>
                </c:pt>
                <c:pt idx="25">
                  <c:v>2679.3085401300004</c:v>
                </c:pt>
                <c:pt idx="26">
                  <c:v>3073.70538016</c:v>
                </c:pt>
                <c:pt idx="27">
                  <c:v>2419.01384289</c:v>
                </c:pt>
                <c:pt idx="28">
                  <c:v>1968.66922346</c:v>
                </c:pt>
                <c:pt idx="29">
                  <c:v>2068.7493869099999</c:v>
                </c:pt>
                <c:pt idx="30">
                  <c:v>2263.0794724899997</c:v>
                </c:pt>
                <c:pt idx="31">
                  <c:v>2715.7922753199996</c:v>
                </c:pt>
                <c:pt idx="32">
                  <c:v>1782.9949839399999</c:v>
                </c:pt>
                <c:pt idx="33">
                  <c:v>1690.88948762</c:v>
                </c:pt>
              </c:numCache>
            </c:numRef>
          </c:val>
          <c:extLst>
            <c:ext xmlns:c16="http://schemas.microsoft.com/office/drawing/2014/chart" uri="{C3380CC4-5D6E-409C-BE32-E72D297353CC}">
              <c16:uniqueId val="{00000005-1918-4EF4-B283-5E01BAC0304B}"/>
            </c:ext>
          </c:extLst>
        </c:ser>
        <c:ser>
          <c:idx val="6"/>
          <c:order val="6"/>
          <c:tx>
            <c:strRef>
              <c:f>'[Tashkeel in English .xlsx]Graph - Exp by Province_Dari-9'!$Z$2</c:f>
              <c:strCache>
                <c:ptCount val="1"/>
                <c:pt idx="0">
                  <c:v>1395</c:v>
                </c:pt>
              </c:strCache>
            </c:strRef>
          </c:tx>
          <c:spPr>
            <a:solidFill>
              <a:schemeClr val="accent3">
                <a:lumMod val="75000"/>
              </a:schemeClr>
            </a:solidFill>
          </c:spPr>
          <c:invertIfNegative val="0"/>
          <c:cat>
            <c:strRef>
              <c:f>'[Tashkeel in English .xlsx]Graph - Exp by Province_Dari-9'!$S$3:$S$36</c:f>
              <c:strCache>
                <c:ptCount val="34"/>
                <c:pt idx="0">
                  <c:v>01 کابل</c:v>
                </c:pt>
                <c:pt idx="1">
                  <c:v>06 ننگرهار</c:v>
                </c:pt>
                <c:pt idx="2">
                  <c:v>27 کندهار</c:v>
                </c:pt>
                <c:pt idx="3">
                  <c:v>21 بلخ</c:v>
                </c:pt>
                <c:pt idx="4">
                  <c:v>32 هرات</c:v>
                </c:pt>
                <c:pt idx="5">
                  <c:v>13 پکتیا</c:v>
                </c:pt>
                <c:pt idx="6">
                  <c:v>30 هلمند</c:v>
                </c:pt>
                <c:pt idx="7">
                  <c:v>17 بدخشان</c:v>
                </c:pt>
                <c:pt idx="8">
                  <c:v>19 کندز</c:v>
                </c:pt>
                <c:pt idx="9">
                  <c:v>09 بغدلان</c:v>
                </c:pt>
                <c:pt idx="10">
                  <c:v>18 تخار</c:v>
                </c:pt>
                <c:pt idx="11">
                  <c:v>03 پروان</c:v>
                </c:pt>
                <c:pt idx="12">
                  <c:v>28 جوزجان</c:v>
                </c:pt>
                <c:pt idx="13">
                  <c:v>10 بامیان </c:v>
                </c:pt>
                <c:pt idx="14">
                  <c:v>11 غزنی</c:v>
                </c:pt>
                <c:pt idx="15">
                  <c:v>29 فاریاب</c:v>
                </c:pt>
                <c:pt idx="16">
                  <c:v>15 کنر</c:v>
                </c:pt>
                <c:pt idx="17">
                  <c:v>14 خوست</c:v>
                </c:pt>
                <c:pt idx="18">
                  <c:v>33 فراه </c:v>
                </c:pt>
                <c:pt idx="19">
                  <c:v>04 وردک</c:v>
                </c:pt>
                <c:pt idx="20">
                  <c:v>02 کاپیسا</c:v>
                </c:pt>
                <c:pt idx="21">
                  <c:v>12پکتیکا </c:v>
                </c:pt>
                <c:pt idx="22">
                  <c:v>34 نیمروز</c:v>
                </c:pt>
                <c:pt idx="23">
                  <c:v>05 لوگر</c:v>
                </c:pt>
                <c:pt idx="24">
                  <c:v>07 لغمان</c:v>
                </c:pt>
                <c:pt idx="25">
                  <c:v>22 سر پل</c:v>
                </c:pt>
                <c:pt idx="26">
                  <c:v>23 غور</c:v>
                </c:pt>
                <c:pt idx="27">
                  <c:v>20 سمنگان</c:v>
                </c:pt>
                <c:pt idx="28">
                  <c:v>24 دایکندی</c:v>
                </c:pt>
                <c:pt idx="29">
                  <c:v>26 زابل</c:v>
                </c:pt>
                <c:pt idx="30">
                  <c:v>31 بادغیس</c:v>
                </c:pt>
                <c:pt idx="31">
                  <c:v>25 ارزگان</c:v>
                </c:pt>
                <c:pt idx="32">
                  <c:v>16 نورستان</c:v>
                </c:pt>
                <c:pt idx="33">
                  <c:v>08 پنجشیر</c:v>
                </c:pt>
              </c:strCache>
            </c:strRef>
          </c:cat>
          <c:val>
            <c:numRef>
              <c:f>'[Tashkeel in English .xlsx]Graph - Exp by Province_Dari-9'!$Z$3:$Z$36</c:f>
              <c:numCache>
                <c:formatCode>_-* #,##0_-;\-* #,##0_-;_-* "-"??_-;_-@_-</c:formatCode>
                <c:ptCount val="34"/>
                <c:pt idx="0">
                  <c:v>22313.726475389991</c:v>
                </c:pt>
                <c:pt idx="1">
                  <c:v>17187.903815259997</c:v>
                </c:pt>
                <c:pt idx="2">
                  <c:v>15417.396518800002</c:v>
                </c:pt>
                <c:pt idx="3">
                  <c:v>15583.650056869999</c:v>
                </c:pt>
                <c:pt idx="4">
                  <c:v>14991.013592970001</c:v>
                </c:pt>
                <c:pt idx="5">
                  <c:v>11710.381820660003</c:v>
                </c:pt>
                <c:pt idx="6">
                  <c:v>12690.899539309996</c:v>
                </c:pt>
                <c:pt idx="7">
                  <c:v>7732.4736275900004</c:v>
                </c:pt>
                <c:pt idx="8">
                  <c:v>6630.9005906000011</c:v>
                </c:pt>
                <c:pt idx="9">
                  <c:v>7921.094839970001</c:v>
                </c:pt>
                <c:pt idx="10">
                  <c:v>4781.7592527300012</c:v>
                </c:pt>
                <c:pt idx="11">
                  <c:v>5006.9066299200003</c:v>
                </c:pt>
                <c:pt idx="12">
                  <c:v>3909.1393070999993</c:v>
                </c:pt>
                <c:pt idx="13">
                  <c:v>3187.0516539400005</c:v>
                </c:pt>
                <c:pt idx="14">
                  <c:v>4610.7256911200002</c:v>
                </c:pt>
                <c:pt idx="15">
                  <c:v>4624.2187199099999</c:v>
                </c:pt>
                <c:pt idx="16">
                  <c:v>2913.5173298000009</c:v>
                </c:pt>
                <c:pt idx="17">
                  <c:v>4085.1042339300002</c:v>
                </c:pt>
                <c:pt idx="18">
                  <c:v>3064.0983389399998</c:v>
                </c:pt>
                <c:pt idx="19">
                  <c:v>3323.9152465200004</c:v>
                </c:pt>
                <c:pt idx="20">
                  <c:v>2895.4157673399995</c:v>
                </c:pt>
                <c:pt idx="21">
                  <c:v>3149.6377847199992</c:v>
                </c:pt>
                <c:pt idx="22">
                  <c:v>2248.99364264</c:v>
                </c:pt>
                <c:pt idx="23">
                  <c:v>2737.7942804599998</c:v>
                </c:pt>
                <c:pt idx="24">
                  <c:v>2957.6425996999997</c:v>
                </c:pt>
                <c:pt idx="25">
                  <c:v>2949.5291994200002</c:v>
                </c:pt>
                <c:pt idx="26">
                  <c:v>3502.70074084</c:v>
                </c:pt>
                <c:pt idx="27">
                  <c:v>2616.2096923500003</c:v>
                </c:pt>
                <c:pt idx="28">
                  <c:v>2268.0312388000002</c:v>
                </c:pt>
                <c:pt idx="29">
                  <c:v>1882.9921992700001</c:v>
                </c:pt>
                <c:pt idx="30">
                  <c:v>2204.9251138000004</c:v>
                </c:pt>
                <c:pt idx="31">
                  <c:v>2027.47605469</c:v>
                </c:pt>
                <c:pt idx="32">
                  <c:v>1922.2233453899996</c:v>
                </c:pt>
                <c:pt idx="33">
                  <c:v>1892.1797367200002</c:v>
                </c:pt>
              </c:numCache>
            </c:numRef>
          </c:val>
          <c:extLst>
            <c:ext xmlns:c16="http://schemas.microsoft.com/office/drawing/2014/chart" uri="{C3380CC4-5D6E-409C-BE32-E72D297353CC}">
              <c16:uniqueId val="{00000006-1918-4EF4-B283-5E01BAC0304B}"/>
            </c:ext>
          </c:extLst>
        </c:ser>
        <c:ser>
          <c:idx val="7"/>
          <c:order val="7"/>
          <c:tx>
            <c:strRef>
              <c:f>'[Tashkeel in English .xlsx]Graph - Exp by Province_Dari-9'!$AA$2</c:f>
              <c:strCache>
                <c:ptCount val="1"/>
                <c:pt idx="0">
                  <c:v>1396</c:v>
                </c:pt>
              </c:strCache>
            </c:strRef>
          </c:tx>
          <c:spPr>
            <a:solidFill>
              <a:srgbClr val="002060"/>
            </a:solidFill>
          </c:spPr>
          <c:invertIfNegative val="0"/>
          <c:cat>
            <c:strRef>
              <c:f>'[Tashkeel in English .xlsx]Graph - Exp by Province_Dari-9'!$S$3:$S$36</c:f>
              <c:strCache>
                <c:ptCount val="34"/>
                <c:pt idx="0">
                  <c:v>01 کابل</c:v>
                </c:pt>
                <c:pt idx="1">
                  <c:v>06 ننگرهار</c:v>
                </c:pt>
                <c:pt idx="2">
                  <c:v>27 کندهار</c:v>
                </c:pt>
                <c:pt idx="3">
                  <c:v>21 بلخ</c:v>
                </c:pt>
                <c:pt idx="4">
                  <c:v>32 هرات</c:v>
                </c:pt>
                <c:pt idx="5">
                  <c:v>13 پکتیا</c:v>
                </c:pt>
                <c:pt idx="6">
                  <c:v>30 هلمند</c:v>
                </c:pt>
                <c:pt idx="7">
                  <c:v>17 بدخشان</c:v>
                </c:pt>
                <c:pt idx="8">
                  <c:v>19 کندز</c:v>
                </c:pt>
                <c:pt idx="9">
                  <c:v>09 بغدلان</c:v>
                </c:pt>
                <c:pt idx="10">
                  <c:v>18 تخار</c:v>
                </c:pt>
                <c:pt idx="11">
                  <c:v>03 پروان</c:v>
                </c:pt>
                <c:pt idx="12">
                  <c:v>28 جوزجان</c:v>
                </c:pt>
                <c:pt idx="13">
                  <c:v>10 بامیان </c:v>
                </c:pt>
                <c:pt idx="14">
                  <c:v>11 غزنی</c:v>
                </c:pt>
                <c:pt idx="15">
                  <c:v>29 فاریاب</c:v>
                </c:pt>
                <c:pt idx="16">
                  <c:v>15 کنر</c:v>
                </c:pt>
                <c:pt idx="17">
                  <c:v>14 خوست</c:v>
                </c:pt>
                <c:pt idx="18">
                  <c:v>33 فراه </c:v>
                </c:pt>
                <c:pt idx="19">
                  <c:v>04 وردک</c:v>
                </c:pt>
                <c:pt idx="20">
                  <c:v>02 کاپیسا</c:v>
                </c:pt>
                <c:pt idx="21">
                  <c:v>12پکتیکا </c:v>
                </c:pt>
                <c:pt idx="22">
                  <c:v>34 نیمروز</c:v>
                </c:pt>
                <c:pt idx="23">
                  <c:v>05 لوگر</c:v>
                </c:pt>
                <c:pt idx="24">
                  <c:v>07 لغمان</c:v>
                </c:pt>
                <c:pt idx="25">
                  <c:v>22 سر پل</c:v>
                </c:pt>
                <c:pt idx="26">
                  <c:v>23 غور</c:v>
                </c:pt>
                <c:pt idx="27">
                  <c:v>20 سمنگان</c:v>
                </c:pt>
                <c:pt idx="28">
                  <c:v>24 دایکندی</c:v>
                </c:pt>
                <c:pt idx="29">
                  <c:v>26 زابل</c:v>
                </c:pt>
                <c:pt idx="30">
                  <c:v>31 بادغیس</c:v>
                </c:pt>
                <c:pt idx="31">
                  <c:v>25 ارزگان</c:v>
                </c:pt>
                <c:pt idx="32">
                  <c:v>16 نورستان</c:v>
                </c:pt>
                <c:pt idx="33">
                  <c:v>08 پنجشیر</c:v>
                </c:pt>
              </c:strCache>
            </c:strRef>
          </c:cat>
          <c:val>
            <c:numRef>
              <c:f>'[Tashkeel in English .xlsx]Graph - Exp by Province_Dari-9'!$AA$3:$AA$36</c:f>
              <c:numCache>
                <c:formatCode>_-* #,##0_-;\-* #,##0_-;_-* "-"??_-;_-@_-</c:formatCode>
                <c:ptCount val="34"/>
                <c:pt idx="0">
                  <c:v>25334.315044510007</c:v>
                </c:pt>
                <c:pt idx="1">
                  <c:v>17000.645263709997</c:v>
                </c:pt>
                <c:pt idx="2">
                  <c:v>15221.444089349998</c:v>
                </c:pt>
                <c:pt idx="3">
                  <c:v>15993.76506236</c:v>
                </c:pt>
                <c:pt idx="4">
                  <c:v>14859.483375009999</c:v>
                </c:pt>
                <c:pt idx="5">
                  <c:v>11607.334181479999</c:v>
                </c:pt>
                <c:pt idx="6">
                  <c:v>10573.34218127</c:v>
                </c:pt>
                <c:pt idx="7">
                  <c:v>6922.4843206200003</c:v>
                </c:pt>
                <c:pt idx="8">
                  <c:v>5969.9608571100007</c:v>
                </c:pt>
                <c:pt idx="9">
                  <c:v>7828.7963719099998</c:v>
                </c:pt>
                <c:pt idx="10">
                  <c:v>5119.9398370899999</c:v>
                </c:pt>
                <c:pt idx="11">
                  <c:v>4977.0364059100002</c:v>
                </c:pt>
                <c:pt idx="12">
                  <c:v>5372.5676384999997</c:v>
                </c:pt>
                <c:pt idx="13">
                  <c:v>4016.2329255500003</c:v>
                </c:pt>
                <c:pt idx="14">
                  <c:v>4366.3404976900001</c:v>
                </c:pt>
                <c:pt idx="15">
                  <c:v>5153.6562276800005</c:v>
                </c:pt>
                <c:pt idx="16">
                  <c:v>3647.87672058</c:v>
                </c:pt>
                <c:pt idx="17">
                  <c:v>3273.9489409099997</c:v>
                </c:pt>
                <c:pt idx="18">
                  <c:v>3273.4223443599994</c:v>
                </c:pt>
                <c:pt idx="19">
                  <c:v>3813.2994404999999</c:v>
                </c:pt>
                <c:pt idx="20">
                  <c:v>3118.6022101999997</c:v>
                </c:pt>
                <c:pt idx="21">
                  <c:v>3375.9656451300002</c:v>
                </c:pt>
                <c:pt idx="22">
                  <c:v>2981.5237327700002</c:v>
                </c:pt>
                <c:pt idx="23">
                  <c:v>3159.7330539700001</c:v>
                </c:pt>
                <c:pt idx="24">
                  <c:v>2878.0959169000002</c:v>
                </c:pt>
                <c:pt idx="25">
                  <c:v>2890.3629725800001</c:v>
                </c:pt>
                <c:pt idx="26">
                  <c:v>3254.0340110500001</c:v>
                </c:pt>
                <c:pt idx="27">
                  <c:v>2395.3094391100003</c:v>
                </c:pt>
                <c:pt idx="28">
                  <c:v>2668.2323453499998</c:v>
                </c:pt>
                <c:pt idx="29">
                  <c:v>2216.54565456</c:v>
                </c:pt>
                <c:pt idx="30">
                  <c:v>2767.2582585500004</c:v>
                </c:pt>
                <c:pt idx="31">
                  <c:v>1897.30203426</c:v>
                </c:pt>
                <c:pt idx="32">
                  <c:v>1936.6667834699999</c:v>
                </c:pt>
                <c:pt idx="33">
                  <c:v>1815.75087452</c:v>
                </c:pt>
              </c:numCache>
            </c:numRef>
          </c:val>
          <c:extLst>
            <c:ext xmlns:c16="http://schemas.microsoft.com/office/drawing/2014/chart" uri="{C3380CC4-5D6E-409C-BE32-E72D297353CC}">
              <c16:uniqueId val="{00000007-1918-4EF4-B283-5E01BAC0304B}"/>
            </c:ext>
          </c:extLst>
        </c:ser>
        <c:ser>
          <c:idx val="8"/>
          <c:order val="8"/>
          <c:tx>
            <c:strRef>
              <c:f>'[Tashkeel in English .xlsx]Graph - Exp by Province_Dari-9'!$AB$2</c:f>
              <c:strCache>
                <c:ptCount val="1"/>
                <c:pt idx="0">
                  <c:v>1397</c:v>
                </c:pt>
              </c:strCache>
            </c:strRef>
          </c:tx>
          <c:spPr>
            <a:solidFill>
              <a:schemeClr val="accent5">
                <a:lumMod val="75000"/>
              </a:schemeClr>
            </a:solidFill>
          </c:spPr>
          <c:invertIfNegative val="0"/>
          <c:cat>
            <c:strRef>
              <c:f>'[Tashkeel in English .xlsx]Graph - Exp by Province_Dari-9'!$S$3:$S$36</c:f>
              <c:strCache>
                <c:ptCount val="34"/>
                <c:pt idx="0">
                  <c:v>01 کابل</c:v>
                </c:pt>
                <c:pt idx="1">
                  <c:v>06 ننگرهار</c:v>
                </c:pt>
                <c:pt idx="2">
                  <c:v>27 کندهار</c:v>
                </c:pt>
                <c:pt idx="3">
                  <c:v>21 بلخ</c:v>
                </c:pt>
                <c:pt idx="4">
                  <c:v>32 هرات</c:v>
                </c:pt>
                <c:pt idx="5">
                  <c:v>13 پکتیا</c:v>
                </c:pt>
                <c:pt idx="6">
                  <c:v>30 هلمند</c:v>
                </c:pt>
                <c:pt idx="7">
                  <c:v>17 بدخشان</c:v>
                </c:pt>
                <c:pt idx="8">
                  <c:v>19 کندز</c:v>
                </c:pt>
                <c:pt idx="9">
                  <c:v>09 بغدلان</c:v>
                </c:pt>
                <c:pt idx="10">
                  <c:v>18 تخار</c:v>
                </c:pt>
                <c:pt idx="11">
                  <c:v>03 پروان</c:v>
                </c:pt>
                <c:pt idx="12">
                  <c:v>28 جوزجان</c:v>
                </c:pt>
                <c:pt idx="13">
                  <c:v>10 بامیان </c:v>
                </c:pt>
                <c:pt idx="14">
                  <c:v>11 غزنی</c:v>
                </c:pt>
                <c:pt idx="15">
                  <c:v>29 فاریاب</c:v>
                </c:pt>
                <c:pt idx="16">
                  <c:v>15 کنر</c:v>
                </c:pt>
                <c:pt idx="17">
                  <c:v>14 خوست</c:v>
                </c:pt>
                <c:pt idx="18">
                  <c:v>33 فراه </c:v>
                </c:pt>
                <c:pt idx="19">
                  <c:v>04 وردک</c:v>
                </c:pt>
                <c:pt idx="20">
                  <c:v>02 کاپیسا</c:v>
                </c:pt>
                <c:pt idx="21">
                  <c:v>12پکتیکا </c:v>
                </c:pt>
                <c:pt idx="22">
                  <c:v>34 نیمروز</c:v>
                </c:pt>
                <c:pt idx="23">
                  <c:v>05 لوگر</c:v>
                </c:pt>
                <c:pt idx="24">
                  <c:v>07 لغمان</c:v>
                </c:pt>
                <c:pt idx="25">
                  <c:v>22 سر پل</c:v>
                </c:pt>
                <c:pt idx="26">
                  <c:v>23 غور</c:v>
                </c:pt>
                <c:pt idx="27">
                  <c:v>20 سمنگان</c:v>
                </c:pt>
                <c:pt idx="28">
                  <c:v>24 دایکندی</c:v>
                </c:pt>
                <c:pt idx="29">
                  <c:v>26 زابل</c:v>
                </c:pt>
                <c:pt idx="30">
                  <c:v>31 بادغیس</c:v>
                </c:pt>
                <c:pt idx="31">
                  <c:v>25 ارزگان</c:v>
                </c:pt>
                <c:pt idx="32">
                  <c:v>16 نورستان</c:v>
                </c:pt>
                <c:pt idx="33">
                  <c:v>08 پنجشیر</c:v>
                </c:pt>
              </c:strCache>
            </c:strRef>
          </c:cat>
          <c:val>
            <c:numRef>
              <c:f>'[Tashkeel in English .xlsx]Graph - Exp by Province_Dari-9'!$AB$3:$AB$36</c:f>
              <c:numCache>
                <c:formatCode>_-* #,##0_-;\-* #,##0_-;_-* "-"??_-;_-@_-</c:formatCode>
                <c:ptCount val="34"/>
                <c:pt idx="0">
                  <c:v>18426.910439404823</c:v>
                </c:pt>
                <c:pt idx="1">
                  <c:v>17486.602473054969</c:v>
                </c:pt>
                <c:pt idx="2">
                  <c:v>16058.855088866345</c:v>
                </c:pt>
                <c:pt idx="3">
                  <c:v>16723.618733495394</c:v>
                </c:pt>
                <c:pt idx="4">
                  <c:v>18960.312100069394</c:v>
                </c:pt>
                <c:pt idx="5">
                  <c:v>11909.295852730747</c:v>
                </c:pt>
                <c:pt idx="6">
                  <c:v>9842.4914516112513</c:v>
                </c:pt>
                <c:pt idx="7">
                  <c:v>7611.3274004654722</c:v>
                </c:pt>
                <c:pt idx="8">
                  <c:v>4875.1851349404878</c:v>
                </c:pt>
                <c:pt idx="9">
                  <c:v>6673.6648176854351</c:v>
                </c:pt>
                <c:pt idx="10">
                  <c:v>5322.1525101486513</c:v>
                </c:pt>
                <c:pt idx="11">
                  <c:v>8317.4766000887121</c:v>
                </c:pt>
                <c:pt idx="12">
                  <c:v>5447.5547102640185</c:v>
                </c:pt>
                <c:pt idx="13">
                  <c:v>3868.6508721737619</c:v>
                </c:pt>
                <c:pt idx="14">
                  <c:v>3970.1890342850334</c:v>
                </c:pt>
                <c:pt idx="15">
                  <c:v>5607.6273461236469</c:v>
                </c:pt>
                <c:pt idx="16">
                  <c:v>3675.5159082226628</c:v>
                </c:pt>
                <c:pt idx="17">
                  <c:v>3580.9980399446085</c:v>
                </c:pt>
                <c:pt idx="18">
                  <c:v>2748.0440481516985</c:v>
                </c:pt>
                <c:pt idx="19">
                  <c:v>3731.837379042352</c:v>
                </c:pt>
                <c:pt idx="20">
                  <c:v>3630.4152389785313</c:v>
                </c:pt>
                <c:pt idx="21">
                  <c:v>3893.8313730757977</c:v>
                </c:pt>
                <c:pt idx="22">
                  <c:v>2086.1724299629564</c:v>
                </c:pt>
                <c:pt idx="23">
                  <c:v>3312.788634500193</c:v>
                </c:pt>
                <c:pt idx="24">
                  <c:v>3700.3765067747759</c:v>
                </c:pt>
                <c:pt idx="25">
                  <c:v>2899.2992221887721</c:v>
                </c:pt>
                <c:pt idx="26">
                  <c:v>2940.6325781345417</c:v>
                </c:pt>
                <c:pt idx="27">
                  <c:v>3189.1261959525154</c:v>
                </c:pt>
                <c:pt idx="28">
                  <c:v>2811.563732477749</c:v>
                </c:pt>
                <c:pt idx="29">
                  <c:v>1959.2537345844619</c:v>
                </c:pt>
                <c:pt idx="30">
                  <c:v>3234.5692895024736</c:v>
                </c:pt>
                <c:pt idx="31">
                  <c:v>1882.4330377302247</c:v>
                </c:pt>
                <c:pt idx="32">
                  <c:v>1999.8366842162829</c:v>
                </c:pt>
                <c:pt idx="33">
                  <c:v>2010.2194897898642</c:v>
                </c:pt>
              </c:numCache>
            </c:numRef>
          </c:val>
          <c:extLst>
            <c:ext xmlns:c16="http://schemas.microsoft.com/office/drawing/2014/chart" uri="{C3380CC4-5D6E-409C-BE32-E72D297353CC}">
              <c16:uniqueId val="{00000008-1918-4EF4-B283-5E01BAC0304B}"/>
            </c:ext>
          </c:extLst>
        </c:ser>
        <c:dLbls>
          <c:showLegendKey val="0"/>
          <c:showVal val="0"/>
          <c:showCatName val="0"/>
          <c:showSerName val="0"/>
          <c:showPercent val="0"/>
          <c:showBubbleSize val="0"/>
        </c:dLbls>
        <c:gapWidth val="219"/>
        <c:overlap val="-27"/>
        <c:axId val="440162176"/>
        <c:axId val="440163712"/>
      </c:barChart>
      <c:catAx>
        <c:axId val="440162176"/>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440163712"/>
        <c:crosses val="autoZero"/>
        <c:auto val="1"/>
        <c:lblAlgn val="ctr"/>
        <c:lblOffset val="100"/>
        <c:noMultiLvlLbl val="0"/>
      </c:catAx>
      <c:valAx>
        <c:axId val="440163712"/>
        <c:scaling>
          <c:orientation val="minMax"/>
        </c:scaling>
        <c:delete val="0"/>
        <c:axPos val="l"/>
        <c:numFmt formatCode="General" sourceLinked="1"/>
        <c:majorTickMark val="none"/>
        <c:minorTickMark val="none"/>
        <c:tickLblPos val="nextTo"/>
        <c:txPr>
          <a:bodyPr rot="-60000000" vert="horz"/>
          <a:lstStyle/>
          <a:p>
            <a:pPr>
              <a:defRPr/>
            </a:pPr>
            <a:endParaRPr lang="en-US"/>
          </a:p>
        </c:txPr>
        <c:crossAx val="440162176"/>
        <c:crosses val="autoZero"/>
        <c:crossBetween val="between"/>
      </c:valAx>
    </c:plotArea>
    <c:plotVisOnly val="1"/>
    <c:dispBlanksAs val="gap"/>
    <c:showDLblsOverMax val="0"/>
  </c:chart>
  <c:spPr>
    <a:ln>
      <a:noFill/>
    </a:ln>
  </c:spPr>
  <c:txPr>
    <a:bodyPr/>
    <a:lstStyle/>
    <a:p>
      <a:pPr>
        <a:defRPr>
          <a:ln>
            <a:noFill/>
          </a:ln>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barChart>
        <c:barDir val="col"/>
        <c:grouping val="clustered"/>
        <c:varyColors val="0"/>
        <c:ser>
          <c:idx val="0"/>
          <c:order val="0"/>
          <c:tx>
            <c:strRef>
              <c:f>'[Tashkeel in English .xlsx] Graph Province_Dari (Per C)-10'!$Y$75</c:f>
              <c:strCache>
                <c:ptCount val="1"/>
                <c:pt idx="0">
                  <c:v>1394</c:v>
                </c:pt>
              </c:strCache>
            </c:strRef>
          </c:tx>
          <c:invertIfNegative val="0"/>
          <c:cat>
            <c:strRef>
              <c:f>'[Tashkeel in English .xlsx] Graph Province_Dari (Per C)-10'!$S$76:$X$109</c:f>
              <c:strCache>
                <c:ptCount val="34"/>
                <c:pt idx="0">
                  <c:v>01 Kabul</c:v>
                </c:pt>
                <c:pt idx="1">
                  <c:v>06 Nangarhar</c:v>
                </c:pt>
                <c:pt idx="2">
                  <c:v>27 Kandahar</c:v>
                </c:pt>
                <c:pt idx="3">
                  <c:v>21 Balkh</c:v>
                </c:pt>
                <c:pt idx="4">
                  <c:v>32 Herat</c:v>
                </c:pt>
                <c:pt idx="5">
                  <c:v>13 Paktya</c:v>
                </c:pt>
                <c:pt idx="6">
                  <c:v>30 Helmand</c:v>
                </c:pt>
                <c:pt idx="7">
                  <c:v>17 Badakhshan</c:v>
                </c:pt>
                <c:pt idx="8">
                  <c:v>19 Kunduz</c:v>
                </c:pt>
                <c:pt idx="9">
                  <c:v>09 Baghlan</c:v>
                </c:pt>
                <c:pt idx="10">
                  <c:v>18 Takhar</c:v>
                </c:pt>
                <c:pt idx="11">
                  <c:v>03 Parwan</c:v>
                </c:pt>
                <c:pt idx="12">
                  <c:v>28 Jawzjan</c:v>
                </c:pt>
                <c:pt idx="13">
                  <c:v>10 Bamyan</c:v>
                </c:pt>
                <c:pt idx="14">
                  <c:v>11 Ghazni</c:v>
                </c:pt>
                <c:pt idx="15">
                  <c:v>29 Faryab</c:v>
                </c:pt>
                <c:pt idx="16">
                  <c:v>15 Kunarha</c:v>
                </c:pt>
                <c:pt idx="17">
                  <c:v>14 Khost</c:v>
                </c:pt>
                <c:pt idx="18">
                  <c:v>33 Farah</c:v>
                </c:pt>
                <c:pt idx="19">
                  <c:v>04 Wardak</c:v>
                </c:pt>
                <c:pt idx="20">
                  <c:v>02 Kapisa</c:v>
                </c:pt>
                <c:pt idx="21">
                  <c:v>12 Paktika</c:v>
                </c:pt>
                <c:pt idx="22">
                  <c:v>34 Nimroz</c:v>
                </c:pt>
                <c:pt idx="23">
                  <c:v>05 Logar</c:v>
                </c:pt>
                <c:pt idx="24">
                  <c:v>07 Laghman</c:v>
                </c:pt>
                <c:pt idx="25">
                  <c:v>22 Sar-E- Pul</c:v>
                </c:pt>
                <c:pt idx="26">
                  <c:v>23 Ghor</c:v>
                </c:pt>
                <c:pt idx="27">
                  <c:v>20 Samangan</c:v>
                </c:pt>
                <c:pt idx="28">
                  <c:v>24 Daykundi</c:v>
                </c:pt>
                <c:pt idx="29">
                  <c:v>26 Zabul</c:v>
                </c:pt>
                <c:pt idx="30">
                  <c:v>31 Badghis</c:v>
                </c:pt>
                <c:pt idx="31">
                  <c:v>25 Urozgan</c:v>
                </c:pt>
                <c:pt idx="32">
                  <c:v>16 Nooristan</c:v>
                </c:pt>
                <c:pt idx="33">
                  <c:v>08 Panjsher</c:v>
                </c:pt>
              </c:strCache>
            </c:strRef>
          </c:cat>
          <c:val>
            <c:numRef>
              <c:f>'[Tashkeel in English .xlsx] Graph Province_Dari (Per C)-10'!$Y$76:$Y$109</c:f>
              <c:numCache>
                <c:formatCode>0</c:formatCode>
                <c:ptCount val="34"/>
                <c:pt idx="0">
                  <c:v>4603.8264913261619</c:v>
                </c:pt>
                <c:pt idx="1">
                  <c:v>10318.713761997591</c:v>
                </c:pt>
                <c:pt idx="2">
                  <c:v>11775.670824071229</c:v>
                </c:pt>
                <c:pt idx="3">
                  <c:v>11444.865237063232</c:v>
                </c:pt>
                <c:pt idx="4">
                  <c:v>7580.4653584272983</c:v>
                </c:pt>
                <c:pt idx="5">
                  <c:v>21492.819494118521</c:v>
                </c:pt>
                <c:pt idx="6">
                  <c:v>14464.560954979448</c:v>
                </c:pt>
                <c:pt idx="7">
                  <c:v>6208.2756694179407</c:v>
                </c:pt>
                <c:pt idx="8">
                  <c:v>6054.1218224084869</c:v>
                </c:pt>
                <c:pt idx="9">
                  <c:v>6181.5962496706106</c:v>
                </c:pt>
                <c:pt idx="10">
                  <c:v>4553.9728329279123</c:v>
                </c:pt>
                <c:pt idx="11">
                  <c:v>6295.5559777698181</c:v>
                </c:pt>
                <c:pt idx="12">
                  <c:v>8264.8539838039451</c:v>
                </c:pt>
                <c:pt idx="13">
                  <c:v>7622.3325752541286</c:v>
                </c:pt>
                <c:pt idx="14">
                  <c:v>4221.5526000564741</c:v>
                </c:pt>
                <c:pt idx="15">
                  <c:v>3836.8586514110648</c:v>
                </c:pt>
                <c:pt idx="16">
                  <c:v>7067.9624380453215</c:v>
                </c:pt>
                <c:pt idx="17">
                  <c:v>5637.4356822002783</c:v>
                </c:pt>
                <c:pt idx="18">
                  <c:v>6017.8776513238945</c:v>
                </c:pt>
                <c:pt idx="19">
                  <c:v>5475.0307230746275</c:v>
                </c:pt>
                <c:pt idx="20">
                  <c:v>7437.941039182786</c:v>
                </c:pt>
                <c:pt idx="21">
                  <c:v>5888.2338737688096</c:v>
                </c:pt>
                <c:pt idx="22">
                  <c:v>16032.862822436929</c:v>
                </c:pt>
                <c:pt idx="23">
                  <c:v>6735.7820929230065</c:v>
                </c:pt>
                <c:pt idx="24">
                  <c:v>6501.5074946138584</c:v>
                </c:pt>
                <c:pt idx="25">
                  <c:v>4788.0962586560927</c:v>
                </c:pt>
                <c:pt idx="26">
                  <c:v>4452.7353195730529</c:v>
                </c:pt>
                <c:pt idx="27">
                  <c:v>6235.7289055958836</c:v>
                </c:pt>
                <c:pt idx="28">
                  <c:v>4639.3784767838915</c:v>
                </c:pt>
                <c:pt idx="29">
                  <c:v>6802.2773025325023</c:v>
                </c:pt>
                <c:pt idx="30">
                  <c:v>4563.0466138060074</c:v>
                </c:pt>
                <c:pt idx="31">
                  <c:v>7020.8528954702206</c:v>
                </c:pt>
                <c:pt idx="32">
                  <c:v>12049.950218224334</c:v>
                </c:pt>
                <c:pt idx="33">
                  <c:v>11016.499688051756</c:v>
                </c:pt>
              </c:numCache>
            </c:numRef>
          </c:val>
          <c:extLst>
            <c:ext xmlns:c16="http://schemas.microsoft.com/office/drawing/2014/chart" uri="{C3380CC4-5D6E-409C-BE32-E72D297353CC}">
              <c16:uniqueId val="{00000000-0798-4823-843D-A12F8965DE38}"/>
            </c:ext>
          </c:extLst>
        </c:ser>
        <c:ser>
          <c:idx val="1"/>
          <c:order val="1"/>
          <c:tx>
            <c:strRef>
              <c:f>'[Tashkeel in English .xlsx] Graph Province_Dari (Per C)-10'!$Z$75</c:f>
              <c:strCache>
                <c:ptCount val="1"/>
                <c:pt idx="0">
                  <c:v>1395</c:v>
                </c:pt>
              </c:strCache>
            </c:strRef>
          </c:tx>
          <c:invertIfNegative val="0"/>
          <c:cat>
            <c:strRef>
              <c:f>'[Tashkeel in English .xlsx] Graph Province_Dari (Per C)-10'!$S$76:$X$109</c:f>
              <c:strCache>
                <c:ptCount val="34"/>
                <c:pt idx="0">
                  <c:v>01 Kabul</c:v>
                </c:pt>
                <c:pt idx="1">
                  <c:v>06 Nangarhar</c:v>
                </c:pt>
                <c:pt idx="2">
                  <c:v>27 Kandahar</c:v>
                </c:pt>
                <c:pt idx="3">
                  <c:v>21 Balkh</c:v>
                </c:pt>
                <c:pt idx="4">
                  <c:v>32 Herat</c:v>
                </c:pt>
                <c:pt idx="5">
                  <c:v>13 Paktya</c:v>
                </c:pt>
                <c:pt idx="6">
                  <c:v>30 Helmand</c:v>
                </c:pt>
                <c:pt idx="7">
                  <c:v>17 Badakhshan</c:v>
                </c:pt>
                <c:pt idx="8">
                  <c:v>19 Kunduz</c:v>
                </c:pt>
                <c:pt idx="9">
                  <c:v>09 Baghlan</c:v>
                </c:pt>
                <c:pt idx="10">
                  <c:v>18 Takhar</c:v>
                </c:pt>
                <c:pt idx="11">
                  <c:v>03 Parwan</c:v>
                </c:pt>
                <c:pt idx="12">
                  <c:v>28 Jawzjan</c:v>
                </c:pt>
                <c:pt idx="13">
                  <c:v>10 Bamyan</c:v>
                </c:pt>
                <c:pt idx="14">
                  <c:v>11 Ghazni</c:v>
                </c:pt>
                <c:pt idx="15">
                  <c:v>29 Faryab</c:v>
                </c:pt>
                <c:pt idx="16">
                  <c:v>15 Kunarha</c:v>
                </c:pt>
                <c:pt idx="17">
                  <c:v>14 Khost</c:v>
                </c:pt>
                <c:pt idx="18">
                  <c:v>33 Farah</c:v>
                </c:pt>
                <c:pt idx="19">
                  <c:v>04 Wardak</c:v>
                </c:pt>
                <c:pt idx="20">
                  <c:v>02 Kapisa</c:v>
                </c:pt>
                <c:pt idx="21">
                  <c:v>12 Paktika</c:v>
                </c:pt>
                <c:pt idx="22">
                  <c:v>34 Nimroz</c:v>
                </c:pt>
                <c:pt idx="23">
                  <c:v>05 Logar</c:v>
                </c:pt>
                <c:pt idx="24">
                  <c:v>07 Laghman</c:v>
                </c:pt>
                <c:pt idx="25">
                  <c:v>22 Sar-E- Pul</c:v>
                </c:pt>
                <c:pt idx="26">
                  <c:v>23 Ghor</c:v>
                </c:pt>
                <c:pt idx="27">
                  <c:v>20 Samangan</c:v>
                </c:pt>
                <c:pt idx="28">
                  <c:v>24 Daykundi</c:v>
                </c:pt>
                <c:pt idx="29">
                  <c:v>26 Zabul</c:v>
                </c:pt>
                <c:pt idx="30">
                  <c:v>31 Badghis</c:v>
                </c:pt>
                <c:pt idx="31">
                  <c:v>25 Urozgan</c:v>
                </c:pt>
                <c:pt idx="32">
                  <c:v>16 Nooristan</c:v>
                </c:pt>
                <c:pt idx="33">
                  <c:v>08 Panjsher</c:v>
                </c:pt>
              </c:strCache>
            </c:strRef>
          </c:cat>
          <c:val>
            <c:numRef>
              <c:f>'[Tashkeel in English .xlsx] Graph Province_Dari (Per C)-10'!$Z$76:$Z$109</c:f>
              <c:numCache>
                <c:formatCode>0</c:formatCode>
                <c:ptCount val="34"/>
                <c:pt idx="0">
                  <c:v>4932.6077521609423</c:v>
                </c:pt>
                <c:pt idx="1">
                  <c:v>11121.631925021093</c:v>
                </c:pt>
                <c:pt idx="2">
                  <c:v>12306.488513441243</c:v>
                </c:pt>
                <c:pt idx="3">
                  <c:v>11512.522703368581</c:v>
                </c:pt>
                <c:pt idx="4">
                  <c:v>7774.1034549482538</c:v>
                </c:pt>
                <c:pt idx="5">
                  <c:v>20866.681790199575</c:v>
                </c:pt>
                <c:pt idx="6">
                  <c:v>13497.553850050568</c:v>
                </c:pt>
                <c:pt idx="7">
                  <c:v>7998.0984760790625</c:v>
                </c:pt>
                <c:pt idx="8">
                  <c:v>6441.0631367699789</c:v>
                </c:pt>
                <c:pt idx="9">
                  <c:v>8545.1561378751612</c:v>
                </c:pt>
                <c:pt idx="10">
                  <c:v>4780.1531212812515</c:v>
                </c:pt>
                <c:pt idx="11">
                  <c:v>7408.9133981754821</c:v>
                </c:pt>
                <c:pt idx="12">
                  <c:v>7108.8185253682468</c:v>
                </c:pt>
                <c:pt idx="13">
                  <c:v>7010.1634811815256</c:v>
                </c:pt>
                <c:pt idx="14">
                  <c:v>3690.4228119637323</c:v>
                </c:pt>
                <c:pt idx="15">
                  <c:v>4554.3773433497317</c:v>
                </c:pt>
                <c:pt idx="16">
                  <c:v>6359.586426996706</c:v>
                </c:pt>
                <c:pt idx="17">
                  <c:v>6994.1432760005137</c:v>
                </c:pt>
                <c:pt idx="18">
                  <c:v>5938.4858101877417</c:v>
                </c:pt>
                <c:pt idx="19">
                  <c:v>5484.3118061236455</c:v>
                </c:pt>
                <c:pt idx="20">
                  <c:v>6459.4491122934987</c:v>
                </c:pt>
                <c:pt idx="21">
                  <c:v>7127.764102081318</c:v>
                </c:pt>
                <c:pt idx="22">
                  <c:v>13397.792501265913</c:v>
                </c:pt>
                <c:pt idx="23">
                  <c:v>6869.6457788149091</c:v>
                </c:pt>
                <c:pt idx="24">
                  <c:v>6530.1367557769327</c:v>
                </c:pt>
                <c:pt idx="25">
                  <c:v>5183.3151438819214</c:v>
                </c:pt>
                <c:pt idx="26">
                  <c:v>4992.069784979185</c:v>
                </c:pt>
                <c:pt idx="27">
                  <c:v>6631.9287894151148</c:v>
                </c:pt>
                <c:pt idx="28">
                  <c:v>4844.3780758600369</c:v>
                </c:pt>
                <c:pt idx="29">
                  <c:v>6090.0417839724187</c:v>
                </c:pt>
                <c:pt idx="30">
                  <c:v>4373.2461572637039</c:v>
                </c:pt>
                <c:pt idx="31">
                  <c:v>5689.340266384932</c:v>
                </c:pt>
                <c:pt idx="32">
                  <c:v>12781.505179099811</c:v>
                </c:pt>
                <c:pt idx="33">
                  <c:v>12129.279534874777</c:v>
                </c:pt>
              </c:numCache>
            </c:numRef>
          </c:val>
          <c:extLst>
            <c:ext xmlns:c16="http://schemas.microsoft.com/office/drawing/2014/chart" uri="{C3380CC4-5D6E-409C-BE32-E72D297353CC}">
              <c16:uniqueId val="{00000001-0798-4823-843D-A12F8965DE38}"/>
            </c:ext>
          </c:extLst>
        </c:ser>
        <c:ser>
          <c:idx val="2"/>
          <c:order val="2"/>
          <c:tx>
            <c:strRef>
              <c:f>'[Tashkeel in English .xlsx] Graph Province_Dari (Per C)-10'!$AA$75</c:f>
              <c:strCache>
                <c:ptCount val="1"/>
                <c:pt idx="0">
                  <c:v>1396</c:v>
                </c:pt>
              </c:strCache>
            </c:strRef>
          </c:tx>
          <c:invertIfNegative val="0"/>
          <c:cat>
            <c:strRef>
              <c:f>'[Tashkeel in English .xlsx] Graph Province_Dari (Per C)-10'!$S$76:$X$109</c:f>
              <c:strCache>
                <c:ptCount val="34"/>
                <c:pt idx="0">
                  <c:v>01 Kabul</c:v>
                </c:pt>
                <c:pt idx="1">
                  <c:v>06 Nangarhar</c:v>
                </c:pt>
                <c:pt idx="2">
                  <c:v>27 Kandahar</c:v>
                </c:pt>
                <c:pt idx="3">
                  <c:v>21 Balkh</c:v>
                </c:pt>
                <c:pt idx="4">
                  <c:v>32 Herat</c:v>
                </c:pt>
                <c:pt idx="5">
                  <c:v>13 Paktya</c:v>
                </c:pt>
                <c:pt idx="6">
                  <c:v>30 Helmand</c:v>
                </c:pt>
                <c:pt idx="7">
                  <c:v>17 Badakhshan</c:v>
                </c:pt>
                <c:pt idx="8">
                  <c:v>19 Kunduz</c:v>
                </c:pt>
                <c:pt idx="9">
                  <c:v>09 Baghlan</c:v>
                </c:pt>
                <c:pt idx="10">
                  <c:v>18 Takhar</c:v>
                </c:pt>
                <c:pt idx="11">
                  <c:v>03 Parwan</c:v>
                </c:pt>
                <c:pt idx="12">
                  <c:v>28 Jawzjan</c:v>
                </c:pt>
                <c:pt idx="13">
                  <c:v>10 Bamyan</c:v>
                </c:pt>
                <c:pt idx="14">
                  <c:v>11 Ghazni</c:v>
                </c:pt>
                <c:pt idx="15">
                  <c:v>29 Faryab</c:v>
                </c:pt>
                <c:pt idx="16">
                  <c:v>15 Kunarha</c:v>
                </c:pt>
                <c:pt idx="17">
                  <c:v>14 Khost</c:v>
                </c:pt>
                <c:pt idx="18">
                  <c:v>33 Farah</c:v>
                </c:pt>
                <c:pt idx="19">
                  <c:v>04 Wardak</c:v>
                </c:pt>
                <c:pt idx="20">
                  <c:v>02 Kapisa</c:v>
                </c:pt>
                <c:pt idx="21">
                  <c:v>12 Paktika</c:v>
                </c:pt>
                <c:pt idx="22">
                  <c:v>34 Nimroz</c:v>
                </c:pt>
                <c:pt idx="23">
                  <c:v>05 Logar</c:v>
                </c:pt>
                <c:pt idx="24">
                  <c:v>07 Laghman</c:v>
                </c:pt>
                <c:pt idx="25">
                  <c:v>22 Sar-E- Pul</c:v>
                </c:pt>
                <c:pt idx="26">
                  <c:v>23 Ghor</c:v>
                </c:pt>
                <c:pt idx="27">
                  <c:v>20 Samangan</c:v>
                </c:pt>
                <c:pt idx="28">
                  <c:v>24 Daykundi</c:v>
                </c:pt>
                <c:pt idx="29">
                  <c:v>26 Zabul</c:v>
                </c:pt>
                <c:pt idx="30">
                  <c:v>31 Badghis</c:v>
                </c:pt>
                <c:pt idx="31">
                  <c:v>25 Urozgan</c:v>
                </c:pt>
                <c:pt idx="32">
                  <c:v>16 Nooristan</c:v>
                </c:pt>
                <c:pt idx="33">
                  <c:v>08 Panjsher</c:v>
                </c:pt>
              </c:strCache>
            </c:strRef>
          </c:cat>
          <c:val>
            <c:numRef>
              <c:f>'[Tashkeel in English .xlsx] Graph Province_Dari (Per C)-10'!$AA$76:$AA$109</c:f>
              <c:numCache>
                <c:formatCode>0</c:formatCode>
                <c:ptCount val="34"/>
                <c:pt idx="0">
                  <c:v>5413.7223664066196</c:v>
                </c:pt>
                <c:pt idx="1">
                  <c:v>10801.103490155167</c:v>
                </c:pt>
                <c:pt idx="2">
                  <c:v>11896.21427515787</c:v>
                </c:pt>
                <c:pt idx="3">
                  <c:v>11571.614661423646</c:v>
                </c:pt>
                <c:pt idx="4">
                  <c:v>7553.6978695442203</c:v>
                </c:pt>
                <c:pt idx="5">
                  <c:v>20344.684421051155</c:v>
                </c:pt>
                <c:pt idx="6">
                  <c:v>11060.328442597571</c:v>
                </c:pt>
                <c:pt idx="7">
                  <c:v>7043.384007101904</c:v>
                </c:pt>
                <c:pt idx="8">
                  <c:v>5689.7465302421069</c:v>
                </c:pt>
                <c:pt idx="9">
                  <c:v>8298.5437387878246</c:v>
                </c:pt>
                <c:pt idx="10">
                  <c:v>5031.5110307250079</c:v>
                </c:pt>
                <c:pt idx="11">
                  <c:v>7242.0328848893332</c:v>
                </c:pt>
                <c:pt idx="12">
                  <c:v>9599.1674665127703</c:v>
                </c:pt>
                <c:pt idx="13">
                  <c:v>8690.4361531254344</c:v>
                </c:pt>
                <c:pt idx="14">
                  <c:v>3437.5436923630446</c:v>
                </c:pt>
                <c:pt idx="15">
                  <c:v>4990.1538372040113</c:v>
                </c:pt>
                <c:pt idx="16">
                  <c:v>7833.0034841294719</c:v>
                </c:pt>
                <c:pt idx="17">
                  <c:v>5514.5672427407517</c:v>
                </c:pt>
                <c:pt idx="18">
                  <c:v>6239.1664351376221</c:v>
                </c:pt>
                <c:pt idx="19">
                  <c:v>6190.5015657670883</c:v>
                </c:pt>
                <c:pt idx="20">
                  <c:v>6845.4350120946319</c:v>
                </c:pt>
                <c:pt idx="21">
                  <c:v>7516.9124349388576</c:v>
                </c:pt>
                <c:pt idx="22">
                  <c:v>17457.250030856609</c:v>
                </c:pt>
                <c:pt idx="23">
                  <c:v>7799.7108283696489</c:v>
                </c:pt>
                <c:pt idx="24">
                  <c:v>6251.9461562022116</c:v>
                </c:pt>
                <c:pt idx="25">
                  <c:v>4995.1057093973968</c:v>
                </c:pt>
                <c:pt idx="26">
                  <c:v>4562.8514453318903</c:v>
                </c:pt>
                <c:pt idx="27">
                  <c:v>5971.3448351673014</c:v>
                </c:pt>
                <c:pt idx="28">
                  <c:v>5607.3207102898405</c:v>
                </c:pt>
                <c:pt idx="29">
                  <c:v>7051.7637940348359</c:v>
                </c:pt>
                <c:pt idx="30">
                  <c:v>5399.3386740563265</c:v>
                </c:pt>
                <c:pt idx="31">
                  <c:v>5237.50537403417</c:v>
                </c:pt>
                <c:pt idx="32">
                  <c:v>12670.78925362295</c:v>
                </c:pt>
                <c:pt idx="33">
                  <c:v>11452.373253021167</c:v>
                </c:pt>
              </c:numCache>
            </c:numRef>
          </c:val>
          <c:extLst>
            <c:ext xmlns:c16="http://schemas.microsoft.com/office/drawing/2014/chart" uri="{C3380CC4-5D6E-409C-BE32-E72D297353CC}">
              <c16:uniqueId val="{00000002-0798-4823-843D-A12F8965DE38}"/>
            </c:ext>
          </c:extLst>
        </c:ser>
        <c:ser>
          <c:idx val="3"/>
          <c:order val="3"/>
          <c:tx>
            <c:strRef>
              <c:f>'[Tashkeel in English .xlsx] Graph Province_Dari (Per C)-10'!$AB$75</c:f>
              <c:strCache>
                <c:ptCount val="1"/>
                <c:pt idx="0">
                  <c:v>1397</c:v>
                </c:pt>
              </c:strCache>
            </c:strRef>
          </c:tx>
          <c:invertIfNegative val="0"/>
          <c:cat>
            <c:strRef>
              <c:f>'[Tashkeel in English .xlsx] Graph Province_Dari (Per C)-10'!$S$76:$X$109</c:f>
              <c:strCache>
                <c:ptCount val="34"/>
                <c:pt idx="0">
                  <c:v>01 Kabul</c:v>
                </c:pt>
                <c:pt idx="1">
                  <c:v>06 Nangarhar</c:v>
                </c:pt>
                <c:pt idx="2">
                  <c:v>27 Kandahar</c:v>
                </c:pt>
                <c:pt idx="3">
                  <c:v>21 Balkh</c:v>
                </c:pt>
                <c:pt idx="4">
                  <c:v>32 Herat</c:v>
                </c:pt>
                <c:pt idx="5">
                  <c:v>13 Paktya</c:v>
                </c:pt>
                <c:pt idx="6">
                  <c:v>30 Helmand</c:v>
                </c:pt>
                <c:pt idx="7">
                  <c:v>17 Badakhshan</c:v>
                </c:pt>
                <c:pt idx="8">
                  <c:v>19 Kunduz</c:v>
                </c:pt>
                <c:pt idx="9">
                  <c:v>09 Baghlan</c:v>
                </c:pt>
                <c:pt idx="10">
                  <c:v>18 Takhar</c:v>
                </c:pt>
                <c:pt idx="11">
                  <c:v>03 Parwan</c:v>
                </c:pt>
                <c:pt idx="12">
                  <c:v>28 Jawzjan</c:v>
                </c:pt>
                <c:pt idx="13">
                  <c:v>10 Bamyan</c:v>
                </c:pt>
                <c:pt idx="14">
                  <c:v>11 Ghazni</c:v>
                </c:pt>
                <c:pt idx="15">
                  <c:v>29 Faryab</c:v>
                </c:pt>
                <c:pt idx="16">
                  <c:v>15 Kunarha</c:v>
                </c:pt>
                <c:pt idx="17">
                  <c:v>14 Khost</c:v>
                </c:pt>
                <c:pt idx="18">
                  <c:v>33 Farah</c:v>
                </c:pt>
                <c:pt idx="19">
                  <c:v>04 Wardak</c:v>
                </c:pt>
                <c:pt idx="20">
                  <c:v>02 Kapisa</c:v>
                </c:pt>
                <c:pt idx="21">
                  <c:v>12 Paktika</c:v>
                </c:pt>
                <c:pt idx="22">
                  <c:v>34 Nimroz</c:v>
                </c:pt>
                <c:pt idx="23">
                  <c:v>05 Logar</c:v>
                </c:pt>
                <c:pt idx="24">
                  <c:v>07 Laghman</c:v>
                </c:pt>
                <c:pt idx="25">
                  <c:v>22 Sar-E- Pul</c:v>
                </c:pt>
                <c:pt idx="26">
                  <c:v>23 Ghor</c:v>
                </c:pt>
                <c:pt idx="27">
                  <c:v>20 Samangan</c:v>
                </c:pt>
                <c:pt idx="28">
                  <c:v>24 Daykundi</c:v>
                </c:pt>
                <c:pt idx="29">
                  <c:v>26 Zabul</c:v>
                </c:pt>
                <c:pt idx="30">
                  <c:v>31 Badghis</c:v>
                </c:pt>
                <c:pt idx="31">
                  <c:v>25 Urozgan</c:v>
                </c:pt>
                <c:pt idx="32">
                  <c:v>16 Nooristan</c:v>
                </c:pt>
                <c:pt idx="33">
                  <c:v>08 Panjsher</c:v>
                </c:pt>
              </c:strCache>
            </c:strRef>
          </c:cat>
          <c:val>
            <c:numRef>
              <c:f>'[Tashkeel in English .xlsx] Graph Province_Dari (Per C)-10'!$AB$76:$AB$109</c:f>
              <c:numCache>
                <c:formatCode>0</c:formatCode>
                <c:ptCount val="34"/>
                <c:pt idx="0">
                  <c:v>3790.8589472286549</c:v>
                </c:pt>
                <c:pt idx="1">
                  <c:v>10689.468658339387</c:v>
                </c:pt>
                <c:pt idx="2">
                  <c:v>12009.466983102795</c:v>
                </c:pt>
                <c:pt idx="3">
                  <c:v>11590.708324233543</c:v>
                </c:pt>
                <c:pt idx="4">
                  <c:v>9246.6143123477286</c:v>
                </c:pt>
                <c:pt idx="5">
                  <c:v>20162.419248597769</c:v>
                </c:pt>
                <c:pt idx="6">
                  <c:v>7052.9507060561573</c:v>
                </c:pt>
                <c:pt idx="7">
                  <c:v>7480.4274013689183</c:v>
                </c:pt>
                <c:pt idx="8">
                  <c:v>4468.0722626562965</c:v>
                </c:pt>
                <c:pt idx="9">
                  <c:v>6828.696719303789</c:v>
                </c:pt>
                <c:pt idx="10">
                  <c:v>5050.1896947091727</c:v>
                </c:pt>
                <c:pt idx="11">
                  <c:v>11688.070756889851</c:v>
                </c:pt>
                <c:pt idx="12">
                  <c:v>9395.0408311772844</c:v>
                </c:pt>
                <c:pt idx="13">
                  <c:v>8086.2391355236396</c:v>
                </c:pt>
                <c:pt idx="14">
                  <c:v>3019.0610287322097</c:v>
                </c:pt>
                <c:pt idx="15">
                  <c:v>5243.0272323836862</c:v>
                </c:pt>
                <c:pt idx="16">
                  <c:v>7623.7327364273306</c:v>
                </c:pt>
                <c:pt idx="17">
                  <c:v>5826.702354673419</c:v>
                </c:pt>
                <c:pt idx="18">
                  <c:v>5058.6466830346581</c:v>
                </c:pt>
                <c:pt idx="19">
                  <c:v>5852.6323549910321</c:v>
                </c:pt>
                <c:pt idx="20">
                  <c:v>7698.5059375167657</c:v>
                </c:pt>
                <c:pt idx="21">
                  <c:v>5199.331525918732</c:v>
                </c:pt>
                <c:pt idx="22">
                  <c:v>11793.080927782996</c:v>
                </c:pt>
                <c:pt idx="23">
                  <c:v>7899.3092956938335</c:v>
                </c:pt>
                <c:pt idx="24">
                  <c:v>7765.1399718695002</c:v>
                </c:pt>
                <c:pt idx="25">
                  <c:v>4839.1256460355007</c:v>
                </c:pt>
                <c:pt idx="26">
                  <c:v>3983.3879393443476</c:v>
                </c:pt>
                <c:pt idx="27">
                  <c:v>7678.295278727498</c:v>
                </c:pt>
                <c:pt idx="28">
                  <c:v>5636.2034569756815</c:v>
                </c:pt>
                <c:pt idx="29">
                  <c:v>5280.395357369528</c:v>
                </c:pt>
                <c:pt idx="30">
                  <c:v>6096.3584523600357</c:v>
                </c:pt>
                <c:pt idx="31">
                  <c:v>4471.7197616191042</c:v>
                </c:pt>
                <c:pt idx="32">
                  <c:v>12640.313784858721</c:v>
                </c:pt>
                <c:pt idx="33">
                  <c:v>12248.846782986711</c:v>
                </c:pt>
              </c:numCache>
            </c:numRef>
          </c:val>
          <c:extLst>
            <c:ext xmlns:c16="http://schemas.microsoft.com/office/drawing/2014/chart" uri="{C3380CC4-5D6E-409C-BE32-E72D297353CC}">
              <c16:uniqueId val="{00000003-0798-4823-843D-A12F8965DE38}"/>
            </c:ext>
          </c:extLst>
        </c:ser>
        <c:dLbls>
          <c:showLegendKey val="0"/>
          <c:showVal val="0"/>
          <c:showCatName val="0"/>
          <c:showSerName val="0"/>
          <c:showPercent val="0"/>
          <c:showBubbleSize val="0"/>
        </c:dLbls>
        <c:gapWidth val="75"/>
        <c:overlap val="-25"/>
        <c:axId val="440186368"/>
        <c:axId val="440187904"/>
      </c:barChart>
      <c:catAx>
        <c:axId val="440186368"/>
        <c:scaling>
          <c:orientation val="minMax"/>
        </c:scaling>
        <c:delete val="0"/>
        <c:axPos val="b"/>
        <c:numFmt formatCode="General" sourceLinked="0"/>
        <c:majorTickMark val="none"/>
        <c:minorTickMark val="none"/>
        <c:tickLblPos val="nextTo"/>
        <c:txPr>
          <a:bodyPr/>
          <a:lstStyle/>
          <a:p>
            <a:pPr>
              <a:defRPr sz="800"/>
            </a:pPr>
            <a:endParaRPr lang="en-US"/>
          </a:p>
        </c:txPr>
        <c:crossAx val="440187904"/>
        <c:crosses val="autoZero"/>
        <c:auto val="1"/>
        <c:lblAlgn val="ctr"/>
        <c:lblOffset val="100"/>
        <c:noMultiLvlLbl val="0"/>
      </c:catAx>
      <c:valAx>
        <c:axId val="440187904"/>
        <c:scaling>
          <c:orientation val="minMax"/>
        </c:scaling>
        <c:delete val="0"/>
        <c:axPos val="l"/>
        <c:numFmt formatCode="0" sourceLinked="1"/>
        <c:majorTickMark val="none"/>
        <c:minorTickMark val="none"/>
        <c:tickLblPos val="nextTo"/>
        <c:spPr>
          <a:ln w="9525">
            <a:noFill/>
          </a:ln>
        </c:spPr>
        <c:crossAx val="440186368"/>
        <c:crosses val="autoZero"/>
        <c:crossBetween val="between"/>
      </c:valAx>
    </c:plotArea>
    <c:legend>
      <c:legendPos val="b"/>
      <c:layout>
        <c:manualLayout>
          <c:xMode val="edge"/>
          <c:yMode val="edge"/>
          <c:x val="0.31136960582629869"/>
          <c:y val="0.90507210128145743"/>
          <c:w val="0.35924267574661273"/>
          <c:h val="7.091338582677166E-2"/>
        </c:manualLayout>
      </c:layout>
      <c:overlay val="0"/>
    </c:legend>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0.35502</cdr:x>
      <cdr:y>0.87603</cdr:y>
    </cdr:from>
    <cdr:to>
      <cdr:x>0.51115</cdr:x>
      <cdr:y>0.97934</cdr:y>
    </cdr:to>
    <cdr:sp macro="" textlink="">
      <cdr:nvSpPr>
        <cdr:cNvPr id="2" name="Text Box 1"/>
        <cdr:cNvSpPr txBox="1"/>
      </cdr:nvSpPr>
      <cdr:spPr>
        <a:xfrm xmlns:a="http://schemas.openxmlformats.org/drawingml/2006/main" rot="10800000" flipV="1">
          <a:off x="1819274" y="2019299"/>
          <a:ext cx="800100" cy="238125"/>
        </a:xfrm>
        <a:prstGeom xmlns:a="http://schemas.openxmlformats.org/drawingml/2006/main" prst="rect">
          <a:avLst/>
        </a:prstGeom>
        <a:solidFill xmlns:a="http://schemas.openxmlformats.org/drawingml/2006/main">
          <a:schemeClr val="bg1"/>
        </a:solidFill>
      </cdr:spPr>
      <cdr:txBody>
        <a:bodyPr xmlns:a="http://schemas.openxmlformats.org/drawingml/2006/main" vertOverflow="clip" wrap="square" rtlCol="0"/>
        <a:lstStyle xmlns:a="http://schemas.openxmlformats.org/drawingml/2006/main"/>
        <a:p xmlns:a="http://schemas.openxmlformats.org/drawingml/2006/main">
          <a:r>
            <a:rPr lang="en-US" sz="600"/>
            <a:t>Domestic</a:t>
          </a:r>
          <a:r>
            <a:rPr lang="en-US" sz="600" baseline="0"/>
            <a:t>  Revenue</a:t>
          </a:r>
          <a:endParaRPr lang="en-US" sz="600"/>
        </a:p>
      </cdr:txBody>
    </cdr:sp>
  </cdr:relSizeAnchor>
  <cdr:relSizeAnchor xmlns:cdr="http://schemas.openxmlformats.org/drawingml/2006/chartDrawing">
    <cdr:from>
      <cdr:x>0.54895</cdr:x>
      <cdr:y>0.8719</cdr:y>
    </cdr:from>
    <cdr:to>
      <cdr:x>0.68773</cdr:x>
      <cdr:y>0.97521</cdr:y>
    </cdr:to>
    <cdr:sp macro="" textlink="">
      <cdr:nvSpPr>
        <cdr:cNvPr id="3" name="Text Box 1"/>
        <cdr:cNvSpPr txBox="1"/>
      </cdr:nvSpPr>
      <cdr:spPr>
        <a:xfrm xmlns:a="http://schemas.openxmlformats.org/drawingml/2006/main" rot="10800000" flipV="1">
          <a:off x="2813046" y="2009774"/>
          <a:ext cx="711203" cy="238125"/>
        </a:xfrm>
        <a:prstGeom xmlns:a="http://schemas.openxmlformats.org/drawingml/2006/main" prst="rect">
          <a:avLst/>
        </a:prstGeom>
        <a:solidFill xmlns:a="http://schemas.openxmlformats.org/drawingml/2006/main">
          <a:schemeClr val="bg1"/>
        </a:solidFill>
      </cdr:spPr>
      <cdr:txBody>
        <a:bodyPr xmlns:a="http://schemas.openxmlformats.org/drawingml/2006/main" wrap="square" rtlCol="0"/>
        <a:lstStyle xmlns:a="http://schemas.openxmlformats.org/drawingml/2006/main"/>
        <a:p xmlns:a="http://schemas.openxmlformats.org/drawingml/2006/main">
          <a:r>
            <a:rPr lang="en-US" sz="600"/>
            <a:t>Foreign Aid</a:t>
          </a:r>
        </a:p>
      </cdr:txBody>
    </cdr:sp>
  </cdr:relSizeAnchor>
</c:userShapes>
</file>

<file path=word/drawings/drawing2.xml><?xml version="1.0" encoding="utf-8"?>
<c:userShapes xmlns:c="http://schemas.openxmlformats.org/drawingml/2006/chart">
  <cdr:relSizeAnchor xmlns:cdr="http://schemas.openxmlformats.org/drawingml/2006/chartDrawing">
    <cdr:from>
      <cdr:x>0.40888</cdr:x>
      <cdr:y>0.9081</cdr:y>
    </cdr:from>
    <cdr:to>
      <cdr:x>0.53733</cdr:x>
      <cdr:y>0.99956</cdr:y>
    </cdr:to>
    <cdr:sp macro="" textlink="">
      <cdr:nvSpPr>
        <cdr:cNvPr id="2" name="Text Box 1"/>
        <cdr:cNvSpPr txBox="1"/>
      </cdr:nvSpPr>
      <cdr:spPr>
        <a:xfrm xmlns:a="http://schemas.openxmlformats.org/drawingml/2006/main">
          <a:off x="2152650" y="2647950"/>
          <a:ext cx="676275" cy="266700"/>
        </a:xfrm>
        <a:prstGeom xmlns:a="http://schemas.openxmlformats.org/drawingml/2006/main" prst="rect">
          <a:avLst/>
        </a:prstGeom>
        <a:solidFill xmlns:a="http://schemas.openxmlformats.org/drawingml/2006/main">
          <a:schemeClr val="bg1"/>
        </a:solidFill>
      </cdr:spPr>
      <cdr:txBody>
        <a:bodyPr xmlns:a="http://schemas.openxmlformats.org/drawingml/2006/main" vertOverflow="clip" wrap="square" rtlCol="0"/>
        <a:lstStyle xmlns:a="http://schemas.openxmlformats.org/drawingml/2006/main"/>
        <a:p xmlns:a="http://schemas.openxmlformats.org/drawingml/2006/main">
          <a:r>
            <a:rPr lang="en-US" sz="600"/>
            <a:t>Total Revenue</a:t>
          </a:r>
        </a:p>
      </cdr:txBody>
    </cdr:sp>
  </cdr:relSizeAnchor>
  <cdr:relSizeAnchor xmlns:cdr="http://schemas.openxmlformats.org/drawingml/2006/chartDrawing">
    <cdr:from>
      <cdr:x>0.58678</cdr:x>
      <cdr:y>0.9081</cdr:y>
    </cdr:from>
    <cdr:to>
      <cdr:x>0.77614</cdr:x>
      <cdr:y>0.99956</cdr:y>
    </cdr:to>
    <cdr:sp macro="" textlink="">
      <cdr:nvSpPr>
        <cdr:cNvPr id="3" name="Text Box 1"/>
        <cdr:cNvSpPr txBox="1"/>
      </cdr:nvSpPr>
      <cdr:spPr>
        <a:xfrm xmlns:a="http://schemas.openxmlformats.org/drawingml/2006/main">
          <a:off x="3089275" y="2647950"/>
          <a:ext cx="996950" cy="266700"/>
        </a:xfrm>
        <a:prstGeom xmlns:a="http://schemas.openxmlformats.org/drawingml/2006/main" prst="rect">
          <a:avLst/>
        </a:prstGeom>
        <a:solidFill xmlns:a="http://schemas.openxmlformats.org/drawingml/2006/main">
          <a:schemeClr val="bg1"/>
        </a:solidFill>
      </cdr:spPr>
      <cdr:txBody>
        <a:bodyPr xmlns:a="http://schemas.openxmlformats.org/drawingml/2006/main" wrap="square" rtlCol="0"/>
        <a:lstStyle xmlns:a="http://schemas.openxmlformats.org/drawingml/2006/main"/>
        <a:p xmlns:a="http://schemas.openxmlformats.org/drawingml/2006/main">
          <a:r>
            <a:rPr lang="en-US" sz="600"/>
            <a:t>Expenditure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9A4B4F44-9D02-41B3-8C05-D523A2567DC8}">
  <ds:schemaRefs>
    <ds:schemaRef ds:uri="http://schemas.openxmlformats.org/officeDocument/2006/bibliography"/>
  </ds:schemaRefs>
</ds:datastoreItem>
</file>

<file path=customXml/itemProps2.xml><?xml version="1.0" encoding="utf-8"?>
<ds:datastoreItem xmlns:ds="http://schemas.openxmlformats.org/officeDocument/2006/customXml" ds:itemID="{651F03EE-482F-4536-BF24-32D908350626}"/>
</file>

<file path=customXml/itemProps3.xml><?xml version="1.0" encoding="utf-8"?>
<ds:datastoreItem xmlns:ds="http://schemas.openxmlformats.org/officeDocument/2006/customXml" ds:itemID="{7BC9C6A0-1C86-41F5-AEA3-58C029C21B4E}"/>
</file>

<file path=customXml/itemProps4.xml><?xml version="1.0" encoding="utf-8"?>
<ds:datastoreItem xmlns:ds="http://schemas.openxmlformats.org/officeDocument/2006/customXml" ds:itemID="{726BABD5-488A-4850-AF5D-D85CBA610EE4}"/>
</file>

<file path=docProps/app.xml><?xml version="1.0" encoding="utf-8"?>
<Properties xmlns="http://schemas.openxmlformats.org/officeDocument/2006/extended-properties" xmlns:vt="http://schemas.openxmlformats.org/officeDocument/2006/docPropsVTypes">
  <Template>Normal</Template>
  <TotalTime>1469</TotalTime>
  <Pages>81</Pages>
  <Words>29204</Words>
  <Characters>166464</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195278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Muzhgan Mohmand</dc:creator>
  <cp:lastModifiedBy>IzzatUllah Azizi</cp:lastModifiedBy>
  <cp:revision>15</cp:revision>
  <cp:lastPrinted>2019-01-20T08:28:00Z</cp:lastPrinted>
  <dcterms:created xsi:type="dcterms:W3CDTF">2019-01-19T03:53:00Z</dcterms:created>
  <dcterms:modified xsi:type="dcterms:W3CDTF">2019-01-20T11:17:00Z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