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32F" w:rsidRPr="00195C68" w:rsidRDefault="0011032F" w:rsidP="0011032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95C68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Anexa nr. 9</w:t>
      </w:r>
    </w:p>
    <w:p w:rsidR="000F3052" w:rsidRDefault="000F3052" w:rsidP="00195C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</w:pPr>
    </w:p>
    <w:p w:rsidR="0011032F" w:rsidRDefault="0011032F" w:rsidP="00195C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</w:pPr>
    </w:p>
    <w:p w:rsidR="0011032F" w:rsidRPr="00195C68" w:rsidRDefault="0011032F" w:rsidP="00110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95C68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Determinarea cuantumului minim al chiriei</w:t>
      </w:r>
    </w:p>
    <w:p w:rsidR="0011032F" w:rsidRPr="00195C68" w:rsidRDefault="0011032F" w:rsidP="00110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95C68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bunurilor proprietate publică</w:t>
      </w:r>
    </w:p>
    <w:p w:rsidR="0011032F" w:rsidRPr="00195C68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1.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Cuantumul minim al chiriei anuale pentru folosirea încăperilor și suprafețelor amenajate se calculează după formula: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 </w:t>
      </w:r>
    </w:p>
    <w:p w:rsidR="0011032F" w:rsidRPr="0011032F" w:rsidRDefault="0011032F" w:rsidP="00110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P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ai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= 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T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b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×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(1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+ 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1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+ 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2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+ 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3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) × 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4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× 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S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,</w:t>
      </w:r>
    </w:p>
    <w:p w:rsidR="0011032F" w:rsidRPr="0011032F" w:rsidRDefault="0011032F" w:rsidP="00110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 care: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P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ai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 –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cuantumul chiriei anuale;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T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b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– tariful de bază pentru chiria anuală a unui metru pătrat de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spaţiu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;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1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– coeficientul de amplasare a încăperii/suprafeței amenajate;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2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 –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coeficientul de amenajare tehnică;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3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– coeficientul de ramură privind utilizarea încăperii/suprafeței amenajate;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4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– coeficientul de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piaţă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;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S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–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suprafaţa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închiriată.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Valoarea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coeficienţilor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folosiţi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în calcule se determină după următoarele criterii: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 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a) tariful de bază pentru chiria anuală a unui metru pătrat de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spaţiu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(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T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b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):</w:t>
      </w:r>
    </w:p>
    <w:p w:rsid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933"/>
        <w:gridCol w:w="1411"/>
      </w:tblGrid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municipiul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Chişinău</w:t>
            </w:r>
            <w:proofErr w:type="spellEnd"/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353,0 lei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municipiul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Bălţi</w:t>
            </w:r>
            <w:proofErr w:type="spellEnd"/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250,3 lei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celelalte municipii,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oraşele-reşedinţă</w:t>
            </w:r>
            <w:proofErr w:type="spellEnd"/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182,0 lei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oraşele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localităţile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suburbane din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componenţa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municipiilor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136,6 lei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localităţile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săteşti</w:t>
            </w:r>
            <w:proofErr w:type="spellEnd"/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45,6 lei</w:t>
            </w:r>
          </w:p>
        </w:tc>
      </w:tr>
    </w:tbl>
    <w:p w:rsid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b) coeficientul de amplasare a încăperii/suprafeței amenajate 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(K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1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):</w:t>
      </w:r>
    </w:p>
    <w:p w:rsid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933"/>
        <w:gridCol w:w="1411"/>
      </w:tblGrid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clădire separată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0,5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construcţie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încorporată sau anexată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0,45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încăpere supraterană, inclusiv parter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0,4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soclu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0,35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demisol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0,3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subsol cu geamuri, etaj tehnic,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acoperiş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, suprafață amenajată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0,2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alte subsoluri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0,0</w:t>
            </w:r>
          </w:p>
        </w:tc>
      </w:tr>
    </w:tbl>
    <w:p w:rsidR="0011032F" w:rsidRPr="00195C68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c) coeficientul de amenajare tehnică (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2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):</w:t>
      </w:r>
    </w:p>
    <w:p w:rsid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933"/>
        <w:gridCol w:w="1411"/>
      </w:tblGrid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apeduct, canalizare, apă caldă, încălzire centrală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0,5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apeduct, canalizare, încălzire centrală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0,4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apeduct, canalizare, apă caldă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0,3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lastRenderedPageBreak/>
              <w:t>apeduct, canalizare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0,2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încălzire centrală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0,2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lipseşte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amenajarea tehnică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0,0</w:t>
            </w:r>
          </w:p>
        </w:tc>
      </w:tr>
    </w:tbl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d) coeficientul de ramură privind utilizarea încăperii/suprafeței amenajate (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3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):</w:t>
      </w:r>
    </w:p>
    <w:p w:rsid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7933"/>
        <w:gridCol w:w="1411"/>
      </w:tblGrid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1) ateliere de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creaţie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ale pictorilor, sculptorilor,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arhitecţilor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,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meşterilor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populari;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spaţii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utilizate de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chiriaşi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în scopuri medicale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farmaceutice </w:t>
            </w:r>
            <w:r w:rsidR="007F4675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și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organizațiile obștești ale persoanelor cu dizabilități și întreprinderile lor;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spaţii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utilizate pentru realizarea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acţiunilor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în masă din cadrul proiectelor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programelor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finanţate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de la bugetul public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naţional</w:t>
            </w:r>
            <w:proofErr w:type="spellEnd"/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0,05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2)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instituţii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finanţate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de la bugetul de stat, de la bugetele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unităţilor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administrativ-teritoriale, de la bugetul asigurărilor sociale de stat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din fondurile asigurării obligatorii de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asistenţă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medicală, alte persoane juridice de drept public; patronate,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fundaţii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,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asociaţii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obşteşti</w:t>
            </w:r>
            <w:proofErr w:type="spellEnd"/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0,1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3)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spaţii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pentru laboratoare, pentru instruire, pentru efectuarea de lucrări de cercetare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proiectare;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spaţii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pentru prestarea de servicii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poştale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, sportive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de întremare a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sănătăţii</w:t>
            </w:r>
            <w:proofErr w:type="spellEnd"/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0,2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4) garaje, depozite,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spaţii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tehnice (cu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excepţia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celor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menţionate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la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poziţia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6)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alte încăperi auxiliare;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spaţii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pentru prestarea de servicii către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populaţie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(ateliere de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reparaţie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a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încălţămintei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, a îmbrăcămintei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a obiectelor de uz casnic, frizerii,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curăţătorii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chimice, puncte de închiriere a obiectelor, băi, birouri de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avocaţi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)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0,4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5)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spaţii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folosite pentru comercializarea produselor de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panificaţie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, a produselor lactate, alimentare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de cofetărie, a băuturilor nealcoolice;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unităţi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de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alimentaţie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publică cu preparare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comercializare a bucatelor;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spaţii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de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producţie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; sedii (încăperi) folosite de organele mijloacelor de informare în masă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0,5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6) încăperi pentru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reparaţia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deservirea tehnică a automobilelor, a tehnicii de calcul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a altor utilaje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0,7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7)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spaţii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folosite în scopuri de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comerţ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, altele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decît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cele prevăzute la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poziţia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5)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0,8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8) încăperi folosite pentru jocuri electronice, jocuri computerizate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alte jocuri distractive pentru copii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1,2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9) încăperi utilizate în calitate de oficii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1,5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10)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instituţii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financiare, burse, companii de asigurare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2,0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11) restaurante, baruri, cafenele cu servire a băuturilor alcoolice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2,5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12) case de schimb valutar, puncte de înregistrare video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şi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de închiriere a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producţiei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video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3,0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13) încăperi folosite pentru jocuri de noroc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4,0</w:t>
            </w:r>
          </w:p>
        </w:tc>
      </w:tr>
      <w:tr w:rsidR="0011032F" w:rsidTr="0011032F">
        <w:tc>
          <w:tcPr>
            <w:tcW w:w="7933" w:type="dxa"/>
          </w:tcPr>
          <w:p w:rsidR="0011032F" w:rsidRPr="00195C68" w:rsidRDefault="0011032F" w:rsidP="0011032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14) încăperi cu altă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destinaţie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decît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cele enumerate la </w:t>
            </w:r>
            <w:proofErr w:type="spellStart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poziţiile</w:t>
            </w:r>
            <w:proofErr w:type="spellEnd"/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 xml:space="preserve"> 1)–13), suprafețe amenajate</w:t>
            </w:r>
          </w:p>
        </w:tc>
        <w:tc>
          <w:tcPr>
            <w:tcW w:w="1411" w:type="dxa"/>
          </w:tcPr>
          <w:p w:rsidR="0011032F" w:rsidRPr="00195C68" w:rsidRDefault="0011032F" w:rsidP="0011032F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1,0</w:t>
            </w:r>
          </w:p>
        </w:tc>
      </w:tr>
    </w:tbl>
    <w:p w:rsid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e) coeficientul de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piaţă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(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4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) se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stabileşte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prin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înţelegere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a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părţilor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nu poate fi mai mic de 1,0, iar pentru genurile de activitate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desfăşurate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în încăperile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menţionate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la lit. d)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poziţiile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1)–6), el nu poate fi mai mic de 0,5,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excepţie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făcînd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: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– încăperile folosite de organele mijloacelor de informare în masă, pentru care coeficientul de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piaţă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se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stabileşte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în intervalul de la 1,0 la 1,5;</w:t>
      </w:r>
    </w:p>
    <w:p w:rsidR="00A707FB" w:rsidRDefault="00A707FB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707FB" w:rsidRDefault="00A707FB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–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spaţiile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utilizate pentru realizarea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acţiunilor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în masă din cadrul proiectelor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programelor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finanţate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la bugetul public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naţional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spaţiile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folosite de către uniunile de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creaţie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, organizațiile obștești ale persoanelor cu dizabilități și întreprinderile lor, precum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spaţiile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din clădirea Parlamentului, utilizate de unitatea de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alimentaţie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publică cu preparare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comercializare a bucatelor, pentru care coeficientul de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piaţă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se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stabileşte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în mărime de 0,1.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La stabilirea acestui coeficient trebuie să se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ţină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cont de cererea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oferta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spaţiilor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ce ar putea fi date în chirie, de posibilitatea utilizării terenului aferent, de caracteristicile teritorial-economice ale zonei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alte criterii calitative, necuprinse în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coeficienţii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aplicaţi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, ale încăperilor/suprafețelor amenajate.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În cazul în care se dau în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locaţiune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mai multe încăperi cu diferite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condiţii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amplasare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amenajare tehnică sau încăperi care vor fi utilizate în diverse scopuri, cuantumul total al chiriei se constituie din suma chiriilor calculate pentru fiecare încăpere sau grup de încăperi.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11032F" w:rsidRPr="007F4675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A707FB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Notă</w:t>
      </w:r>
      <w:r w:rsidR="007F4675" w:rsidRPr="00A707FB">
        <w:rPr>
          <w:rFonts w:ascii="Times New Roman" w:eastAsia="Times New Roman" w:hAnsi="Times New Roman" w:cs="Times New Roman"/>
          <w:b/>
          <w:sz w:val="24"/>
          <w:szCs w:val="24"/>
          <w:lang w:val="ro-RO" w:eastAsia="ru-RU"/>
        </w:rPr>
        <w:t>.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Pr="007F467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În sensul prezentei legi, suprafaț</w:t>
      </w:r>
      <w:r w:rsidR="007E2CC7" w:rsidRPr="007F467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ă</w:t>
      </w:r>
      <w:r w:rsidRPr="007F467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amenajată presupune suprafața terenului aferentă clădirii, amenajată (asfaltată), care poate fi dată în chirie.</w:t>
      </w:r>
    </w:p>
    <w:p w:rsid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2.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Cuantumul chiriei anuale pentru utilajul, mijloacele de transport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alte mijloace fixe (denumite în continuare 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utilaj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) date în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locaţiune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se calculează după formula: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 </w:t>
      </w:r>
    </w:p>
    <w:p w:rsidR="0011032F" w:rsidRPr="0011032F" w:rsidRDefault="0011032F" w:rsidP="001103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proofErr w:type="spellStart"/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P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au</w:t>
      </w:r>
      <w:proofErr w:type="spellEnd"/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 = </w:t>
      </w:r>
      <w:proofErr w:type="spellStart"/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U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a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× 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1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× 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2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 + Q,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 care: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proofErr w:type="spellStart"/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P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au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– cuantumul chiriei anuale pentru utilajul dat în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locaţiune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;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proofErr w:type="spellStart"/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U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a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– amortizarea/uzura anuală a utilajului dat în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locaţiune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;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1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– coeficientul de calcul;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2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– coeficientul de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piaţă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;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Q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– cheltuielile de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întreţinere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exploatare a utilajului dat în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locaţiune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, suportate de locator.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 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Valoarea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coeficienţilor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folosiţi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în calcule se determină după următoarele criterii:</w:t>
      </w:r>
    </w:p>
    <w:p w:rsidR="0011032F" w:rsidRP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a) amortizarea/uzura anuală a utilajului (</w:t>
      </w:r>
      <w:proofErr w:type="spellStart"/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U</w:t>
      </w:r>
      <w:r w:rsidRPr="0011032F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a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) se calculează pentru fiecare obiect de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evidenţă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potrivit prevederilor Catalogului mijloacelor fixe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activelor nemateriale, aprobat prin </w:t>
      </w:r>
      <w:proofErr w:type="spellStart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Hotărîrea</w:t>
      </w:r>
      <w:proofErr w:type="spellEnd"/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Guvernului nr. 338/2003, conform </w:t>
      </w:r>
      <w:r w:rsid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           </w:t>
      </w:r>
      <w:r w:rsidRPr="0011032F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tabelului nr. 1:</w:t>
      </w:r>
    </w:p>
    <w:p w:rsid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A707FB" w:rsidRDefault="00A707FB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11032F" w:rsidRDefault="0011032F" w:rsidP="0011032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7F4675" w:rsidRPr="0011032F" w:rsidRDefault="007F4675" w:rsidP="007F4675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Tabelul nr. 1 </w:t>
      </w:r>
    </w:p>
    <w:p w:rsidR="0011032F" w:rsidRPr="00195C68" w:rsidRDefault="0011032F" w:rsidP="00195C6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o-RO" w:eastAsia="ru-RU"/>
        </w:rPr>
      </w:pPr>
    </w:p>
    <w:tbl>
      <w:tblPr>
        <w:tblW w:w="5233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861"/>
        <w:gridCol w:w="547"/>
        <w:gridCol w:w="1608"/>
        <w:gridCol w:w="864"/>
        <w:gridCol w:w="1022"/>
        <w:gridCol w:w="1022"/>
        <w:gridCol w:w="807"/>
        <w:gridCol w:w="766"/>
        <w:gridCol w:w="1065"/>
        <w:gridCol w:w="879"/>
      </w:tblGrid>
      <w:tr w:rsidR="007E2CC7" w:rsidRPr="0060343E" w:rsidTr="00621D75">
        <w:trPr>
          <w:jc w:val="center"/>
        </w:trPr>
        <w:tc>
          <w:tcPr>
            <w:tcW w:w="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Nr.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>crt.</w:t>
            </w: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Denumirea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>utilajului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Nr. de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inven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-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>tar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Durata de utilizare/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 xml:space="preserve">durata de </w:t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funcţionare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>utilă, în ani.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Distanţa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, km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 xml:space="preserve">Costul de </w:t>
            </w:r>
          </w:p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intrare/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>valoarea</w:t>
            </w:r>
          </w:p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iniţială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>sau</w:t>
            </w:r>
          </w:p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valoarea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>reevaluată,</w:t>
            </w:r>
          </w:p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în lei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Amortizarea/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>uzura la data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>dării în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locaţiune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,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>în lei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Amortizarea/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 xml:space="preserve">uzura anuală 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ro-RO" w:eastAsia="ru-RU"/>
              </w:rPr>
              <w:br/>
              <w:t>(</w:t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ro-RO" w:eastAsia="ru-RU"/>
              </w:rPr>
              <w:t>Ua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ro-RO" w:eastAsia="ru-RU"/>
              </w:rPr>
              <w:t>)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, în lei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Coefi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-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cientul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 xml:space="preserve"> de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 xml:space="preserve">calcul 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ro-RO" w:eastAsia="ru-RU"/>
              </w:rPr>
              <w:t>(K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vertAlign w:val="subscript"/>
                <w:lang w:val="ro-RO" w:eastAsia="ru-RU"/>
              </w:rPr>
              <w:t>1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ro-RO"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Coefi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-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cientul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 xml:space="preserve"> de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piaţă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 xml:space="preserve"> 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ro-RO" w:eastAsia="ru-RU"/>
              </w:rPr>
              <w:t>(K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vertAlign w:val="subscript"/>
                <w:lang w:val="ro-RO" w:eastAsia="ru-RU"/>
              </w:rPr>
              <w:t>2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ro-RO" w:eastAsia="ru-RU"/>
              </w:rPr>
              <w:t>)</w:t>
            </w:r>
          </w:p>
        </w:tc>
        <w:tc>
          <w:tcPr>
            <w:tcW w:w="5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Cheltuielile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 xml:space="preserve"> de </w:t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întreţinere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şi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 xml:space="preserve"> exploatare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>(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ro-RO" w:eastAsia="ru-RU"/>
              </w:rPr>
              <w:t>Q)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, în lei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Cuantumul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>chiriei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br/>
              <w:t xml:space="preserve">anuale 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ro-RO" w:eastAsia="ru-RU"/>
              </w:rPr>
              <w:br/>
              <w:t>(</w:t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lang w:val="ro-RO" w:eastAsia="ru-RU"/>
              </w:rPr>
              <w:t>P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16"/>
                <w:szCs w:val="16"/>
                <w:vertAlign w:val="subscript"/>
                <w:lang w:val="ro-RO" w:eastAsia="ru-RU"/>
              </w:rPr>
              <w:t>au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ro-RO" w:eastAsia="ru-RU"/>
              </w:rPr>
              <w:t>), în lei</w:t>
            </w:r>
          </w:p>
        </w:tc>
      </w:tr>
      <w:tr w:rsidR="007E2CC7" w:rsidRPr="00195C68" w:rsidTr="007E2CC7">
        <w:trPr>
          <w:jc w:val="center"/>
        </w:trPr>
        <w:tc>
          <w:tcPr>
            <w:tcW w:w="1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  <w:t>1</w:t>
            </w: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  <w:t>2</w:t>
            </w:r>
          </w:p>
        </w:tc>
        <w:tc>
          <w:tcPr>
            <w:tcW w:w="2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  <w:t>9</w:t>
            </w:r>
          </w:p>
        </w:tc>
        <w:tc>
          <w:tcPr>
            <w:tcW w:w="54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  <w:t>10</w:t>
            </w:r>
          </w:p>
        </w:tc>
        <w:tc>
          <w:tcPr>
            <w:tcW w:w="4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sz w:val="16"/>
                <w:szCs w:val="16"/>
                <w:lang w:val="ro-RO" w:eastAsia="ru-RU"/>
              </w:rPr>
              <w:t>11</w:t>
            </w:r>
          </w:p>
        </w:tc>
      </w:tr>
    </w:tbl>
    <w:p w:rsidR="007E2CC7" w:rsidRDefault="007E2CC7" w:rsidP="00195C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</w:p>
    <w:p w:rsid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b) coeficientul de calcul (</w:t>
      </w: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1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) se va stabili în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funcţie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amortizarea/uzura de la data dării în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locaţiune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a utilajului (tabelul nr.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2).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</w:p>
    <w:p w:rsidR="007E2CC7" w:rsidRPr="007E2CC7" w:rsidRDefault="007E2CC7" w:rsidP="007E2CC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Tabelul nr. 2</w:t>
      </w:r>
    </w:p>
    <w:p w:rsidR="007E2CC7" w:rsidRPr="00195C68" w:rsidRDefault="007E2CC7" w:rsidP="00195C68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val="ro-RO" w:eastAsia="ru-RU"/>
        </w:rPr>
      </w:pPr>
    </w:p>
    <w:p w:rsidR="007E2CC7" w:rsidRPr="007E2CC7" w:rsidRDefault="007E2CC7">
      <w:pPr>
        <w:rPr>
          <w:lang w:val="en-US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710"/>
        <w:gridCol w:w="568"/>
        <w:gridCol w:w="566"/>
        <w:gridCol w:w="568"/>
        <w:gridCol w:w="700"/>
        <w:gridCol w:w="613"/>
        <w:gridCol w:w="519"/>
        <w:gridCol w:w="519"/>
        <w:gridCol w:w="624"/>
        <w:gridCol w:w="710"/>
        <w:gridCol w:w="698"/>
      </w:tblGrid>
      <w:tr w:rsidR="007E2CC7" w:rsidRPr="007E2CC7" w:rsidTr="00621D75">
        <w:trPr>
          <w:jc w:val="center"/>
        </w:trPr>
        <w:tc>
          <w:tcPr>
            <w:tcW w:w="13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Mărimea de amortizare/de uzură </w:t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ro-RO" w:eastAsia="ru-RU"/>
              </w:rPr>
              <w:t>U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vertAlign w:val="subscript"/>
                <w:lang w:val="ro-RO" w:eastAsia="ru-RU"/>
              </w:rPr>
              <w:t>a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(%)</w:t>
            </w: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0</w:t>
            </w:r>
          </w:p>
        </w:tc>
        <w:tc>
          <w:tcPr>
            <w:tcW w:w="3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10</w:t>
            </w:r>
          </w:p>
        </w:tc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20</w:t>
            </w:r>
          </w:p>
        </w:tc>
        <w:tc>
          <w:tcPr>
            <w:tcW w:w="3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30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40</w:t>
            </w:r>
          </w:p>
        </w:tc>
        <w:tc>
          <w:tcPr>
            <w:tcW w:w="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70</w:t>
            </w:r>
          </w:p>
        </w:tc>
        <w:tc>
          <w:tcPr>
            <w:tcW w:w="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80</w:t>
            </w: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90</w:t>
            </w:r>
          </w:p>
        </w:tc>
        <w:tc>
          <w:tcPr>
            <w:tcW w:w="3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100</w:t>
            </w:r>
          </w:p>
        </w:tc>
      </w:tr>
      <w:tr w:rsidR="007E2CC7" w:rsidRPr="00195C68" w:rsidTr="007E2CC7">
        <w:trPr>
          <w:jc w:val="center"/>
        </w:trPr>
        <w:tc>
          <w:tcPr>
            <w:tcW w:w="136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o-RO" w:eastAsia="ru-RU"/>
              </w:rPr>
              <w:t>K</w:t>
            </w:r>
            <w:r w:rsidRPr="00195C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val="ro-RO" w:eastAsia="ru-RU"/>
              </w:rPr>
              <w:t>1</w:t>
            </w: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1,88</w:t>
            </w:r>
          </w:p>
        </w:tc>
        <w:tc>
          <w:tcPr>
            <w:tcW w:w="3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1,79</w:t>
            </w:r>
          </w:p>
        </w:tc>
        <w:tc>
          <w:tcPr>
            <w:tcW w:w="30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1,71</w:t>
            </w:r>
          </w:p>
        </w:tc>
        <w:tc>
          <w:tcPr>
            <w:tcW w:w="30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1,62</w:t>
            </w:r>
          </w:p>
        </w:tc>
        <w:tc>
          <w:tcPr>
            <w:tcW w:w="3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1,53</w:t>
            </w:r>
          </w:p>
        </w:tc>
        <w:tc>
          <w:tcPr>
            <w:tcW w:w="32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1,27</w:t>
            </w:r>
          </w:p>
        </w:tc>
        <w:tc>
          <w:tcPr>
            <w:tcW w:w="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1,18</w:t>
            </w:r>
          </w:p>
        </w:tc>
        <w:tc>
          <w:tcPr>
            <w:tcW w:w="3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1,09</w:t>
            </w:r>
          </w:p>
        </w:tc>
        <w:tc>
          <w:tcPr>
            <w:tcW w:w="37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1,0</w:t>
            </w:r>
          </w:p>
        </w:tc>
      </w:tr>
    </w:tbl>
    <w:p w:rsidR="007E2CC7" w:rsidRDefault="007E2CC7" w:rsidP="007E2CC7">
      <w:pPr>
        <w:spacing w:after="0" w:line="240" w:lineRule="auto"/>
      </w:pP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c) coeficientul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piaţă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(</w:t>
      </w: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2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) se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stabileşte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prin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înţelegere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a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părţilor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nu poate fi mai mic de 1,0. La stabilirea acestui coeficient se va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ţine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cont de cerere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ofertă, de venitul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neobţinut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,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diferenţa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dintre valoarea contabilă/valoarea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bilanţ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preţul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piaţă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la utilajul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acelaşi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tip sau cu caracteristici comparabile, precum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alţi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factori.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Excepţie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fac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autorităţile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/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instituţiile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bugetare la darea în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locaţiune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a utilajului altor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autorităţi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/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instituţii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bugetare, pentru care coeficientul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piaţă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se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stabileşte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în mărime de 1,0, precum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unitatea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alimentaţie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publică cu preparare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comercializare a bucatelor în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spaţiile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din clădirea Parlamentului, pentru care coeficientul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piaţă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se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stabileşte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în mărime de 0,2.</w:t>
      </w:r>
    </w:p>
    <w:p w:rsidR="007E2CC7" w:rsidRDefault="007E2CC7" w:rsidP="007F4675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În cazul în care mărimea cheltuielilor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întreţinere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exploatare a utilajului (</w:t>
      </w: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Q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) variază, aceasta se recalculează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se achită suplimentar.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3.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Cuantumul chiriei anuale pentru folosirea activelor circulante se calculează după formula: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 </w:t>
      </w:r>
    </w:p>
    <w:p w:rsidR="007E2CC7" w:rsidRPr="007E2CC7" w:rsidRDefault="007E2CC7" w:rsidP="007E2C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P</w:t>
      </w: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ac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= </w:t>
      </w: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C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× </w:t>
      </w: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R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× </w:t>
      </w: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,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 care: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P</w:t>
      </w: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ro-RO" w:eastAsia="ru-RU"/>
        </w:rPr>
        <w:t>ac</w:t>
      </w: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 xml:space="preserve"> –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cuantumul chiriei anuale pentru folosirea activelor circulante;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C –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valoarea contabilă/valoarea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bilanţ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a activelor circulante la data calculării chiriei;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R –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rata de bază aplicată de Banca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Naţională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a Moldovei la principalele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operaţiuni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politică monetară pe termen scurt;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i/>
          <w:iCs/>
          <w:sz w:val="28"/>
          <w:szCs w:val="28"/>
          <w:lang w:val="ro-RO" w:eastAsia="ru-RU"/>
        </w:rPr>
        <w:t>K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– coeficientul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piaţă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.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 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Valoarea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coeficienţilor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folosiţi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în calcule se determină după următ</w:t>
      </w:r>
      <w:bookmarkStart w:id="0" w:name="_GoBack"/>
      <w:bookmarkEnd w:id="0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oarele criterii: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a) valoarea contabilă/valoarea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bilanţ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a activelor circulante se calculează pentru fiecare obiect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evidenţă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conform tabelului nr.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3:</w:t>
      </w:r>
    </w:p>
    <w:p w:rsidR="007E2CC7" w:rsidRPr="00195C68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7E2CC7" w:rsidRPr="007E2CC7" w:rsidRDefault="007E2CC7" w:rsidP="007E2CC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Tabelul nr.</w:t>
      </w:r>
      <w:r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3</w:t>
      </w:r>
    </w:p>
    <w:p w:rsidR="007E2CC7" w:rsidRDefault="007E2CC7" w:rsidP="007E2CC7"/>
    <w:p w:rsidR="000F3052" w:rsidRPr="00195C68" w:rsidRDefault="000F3052" w:rsidP="00195C68">
      <w:pP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val="ro-RO" w:eastAsia="ru-RU"/>
        </w:rPr>
      </w:pPr>
    </w:p>
    <w:tbl>
      <w:tblPr>
        <w:tblW w:w="4929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478"/>
        <w:gridCol w:w="1176"/>
        <w:gridCol w:w="1107"/>
        <w:gridCol w:w="1967"/>
        <w:gridCol w:w="1878"/>
        <w:gridCol w:w="733"/>
      </w:tblGrid>
      <w:tr w:rsidR="000F3052" w:rsidRPr="007E2CC7" w:rsidTr="007F4675">
        <w:trPr>
          <w:jc w:val="center"/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Nr.</w:t>
            </w: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br/>
              <w:t>crt.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Denumirea activelor circulante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Cantitatea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Unitatea de măsură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Valoarea contabilă/ valoarea de </w:t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bilanţ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a unei </w:t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unităţi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la data calculării chiriei, în lei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Valoarea contabilă/ valoarea de </w:t>
            </w:r>
            <w:proofErr w:type="spellStart"/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bilanţ</w:t>
            </w:r>
            <w:proofErr w:type="spellEnd"/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 xml:space="preserve"> totală la data calculării chiriei, în lei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7E2CC7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</w:pPr>
            <w:r w:rsidRPr="007E2CC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RO" w:eastAsia="ru-RU"/>
              </w:rPr>
              <w:t>Note</w:t>
            </w:r>
          </w:p>
        </w:tc>
      </w:tr>
      <w:tr w:rsidR="000F3052" w:rsidRPr="00195C68" w:rsidTr="007F4675">
        <w:trPr>
          <w:jc w:val="center"/>
        </w:trPr>
        <w:tc>
          <w:tcPr>
            <w:tcW w:w="4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6</w:t>
            </w:r>
          </w:p>
        </w:tc>
        <w:tc>
          <w:tcPr>
            <w:tcW w:w="3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4" w:type="dxa"/>
              <w:left w:w="48" w:type="dxa"/>
              <w:bottom w:w="24" w:type="dxa"/>
              <w:right w:w="48" w:type="dxa"/>
            </w:tcMar>
            <w:hideMark/>
          </w:tcPr>
          <w:p w:rsidR="000F3052" w:rsidRPr="00195C68" w:rsidRDefault="000F3052" w:rsidP="00195C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</w:pPr>
            <w:r w:rsidRPr="00195C68">
              <w:rPr>
                <w:rFonts w:ascii="Times New Roman" w:eastAsia="Times New Roman" w:hAnsi="Times New Roman" w:cs="Times New Roman"/>
                <w:sz w:val="24"/>
                <w:szCs w:val="24"/>
                <w:lang w:val="ro-RO" w:eastAsia="ru-RU"/>
              </w:rPr>
              <w:t>7</w:t>
            </w:r>
          </w:p>
        </w:tc>
      </w:tr>
    </w:tbl>
    <w:p w:rsidR="007E2CC7" w:rsidRDefault="007E2CC7"/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b) rata de bază aplicată de Banca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Naţională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a Moldovei la principalele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operaţiuni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politică monetară pe termen scurt se publică periodic în presă. În calcule se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foloseşte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valoarea ratei în vigoare la data încheierii contractului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locaţiune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;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c) coeficientul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piaţă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se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stabileşte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prin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înţelegerea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părţilor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şi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nu poate fi mai mic de 1,0.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După încetarea efectului contractului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locaţiune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, locatarul restituie activele circulante în volumele fixate la data dării lor în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locaţiune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. În cazul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imposibilităţii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restituire a activelor circulante, costul lor se recuperează la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preţurile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piaţă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care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sînt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în vigoare la data încetării efectului contractului de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locaţiune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.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 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b/>
          <w:bCs/>
          <w:sz w:val="28"/>
          <w:szCs w:val="28"/>
          <w:lang w:val="ro-RO" w:eastAsia="ru-RU"/>
        </w:rPr>
        <w:t>4.</w:t>
      </w: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Cuantumul minim al chiriei bunurilor proprietate publică se </w:t>
      </w:r>
      <w:proofErr w:type="spellStart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stabileşte</w:t>
      </w:r>
      <w:proofErr w:type="spellEnd"/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 xml:space="preserve"> fără taxă pe valoarea adăugată.</w:t>
      </w:r>
    </w:p>
    <w:p w:rsidR="007E2CC7" w:rsidRPr="007E2CC7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</w:pPr>
      <w:r w:rsidRPr="007E2CC7">
        <w:rPr>
          <w:rFonts w:ascii="Times New Roman" w:eastAsia="Times New Roman" w:hAnsi="Times New Roman" w:cs="Times New Roman"/>
          <w:sz w:val="28"/>
          <w:szCs w:val="28"/>
          <w:lang w:val="ro-RO" w:eastAsia="ru-RU"/>
        </w:rPr>
        <w:t>Dacă locatorul este înregistrat ca contribuabil al taxei pe valoarea adăugată, chiria va fi încasată de la locatar cu aplicarea taxei pe valoarea adăugată, calculată suplimentar la valoarea serviciilor prestate.</w:t>
      </w:r>
    </w:p>
    <w:p w:rsidR="007E2CC7" w:rsidRPr="00195C68" w:rsidRDefault="007E2CC7" w:rsidP="007E2CC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</w:pPr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 </w:t>
      </w:r>
    </w:p>
    <w:p w:rsidR="007E2CC7" w:rsidRPr="00621D75" w:rsidRDefault="007E2CC7" w:rsidP="007E2CC7">
      <w:pPr>
        <w:ind w:firstLine="567"/>
        <w:rPr>
          <w:lang w:val="en-US"/>
        </w:rPr>
      </w:pPr>
      <w:r w:rsidRPr="00195C68">
        <w:rPr>
          <w:rFonts w:ascii="Times New Roman" w:eastAsia="Times New Roman" w:hAnsi="Times New Roman" w:cs="Times New Roman"/>
          <w:b/>
          <w:bCs/>
          <w:sz w:val="24"/>
          <w:szCs w:val="24"/>
          <w:lang w:val="ro-RO" w:eastAsia="ru-RU"/>
        </w:rPr>
        <w:t>Notă.</w:t>
      </w:r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Prevederile prezentei anexe nu se aplică raporturil</w:t>
      </w:r>
      <w:r w:rsidR="00621D7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or</w:t>
      </w:r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juridice reglementate de Legea nr.</w:t>
      </w:r>
      <w:r w:rsidR="00621D75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28/2016 privind accesul pe </w:t>
      </w:r>
      <w:proofErr w:type="spellStart"/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proprietăţi</w:t>
      </w:r>
      <w:proofErr w:type="spellEnd"/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</w:t>
      </w:r>
      <w:proofErr w:type="spellStart"/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şi</w:t>
      </w:r>
      <w:proofErr w:type="spellEnd"/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utilizarea partajată a infrastructurii asociate </w:t>
      </w:r>
      <w:proofErr w:type="spellStart"/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reţelelor</w:t>
      </w:r>
      <w:proofErr w:type="spellEnd"/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publice de </w:t>
      </w:r>
      <w:proofErr w:type="spellStart"/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>comunicaţii</w:t>
      </w:r>
      <w:proofErr w:type="spellEnd"/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t xml:space="preserve"> electronice.</w:t>
      </w:r>
    </w:p>
    <w:p w:rsidR="000F3052" w:rsidRPr="00195C68" w:rsidRDefault="000F3052" w:rsidP="00195C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95C68">
        <w:rPr>
          <w:rFonts w:ascii="Times New Roman" w:eastAsia="Times New Roman" w:hAnsi="Times New Roman" w:cs="Times New Roman"/>
          <w:sz w:val="24"/>
          <w:szCs w:val="24"/>
          <w:lang w:val="ro-RO" w:eastAsia="ru-RU"/>
        </w:rPr>
        <w:br/>
      </w:r>
    </w:p>
    <w:sectPr w:rsidR="000F3052" w:rsidRPr="00195C68" w:rsidSect="00195C68">
      <w:headerReference w:type="default" r:id="rId7"/>
      <w:footerReference w:type="default" r:id="rId8"/>
      <w:pgSz w:w="11906" w:h="16838" w:code="9"/>
      <w:pgMar w:top="1418" w:right="567" w:bottom="1418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4754" w:rsidRDefault="009C4754" w:rsidP="003443C8">
      <w:pPr>
        <w:spacing w:after="0" w:line="240" w:lineRule="auto"/>
      </w:pPr>
      <w:r>
        <w:separator/>
      </w:r>
    </w:p>
  </w:endnote>
  <w:endnote w:type="continuationSeparator" w:id="0">
    <w:p w:rsidR="009C4754" w:rsidRDefault="009C4754" w:rsidP="0034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3C8" w:rsidRDefault="003443C8">
    <w:pPr>
      <w:pStyle w:val="Subsol"/>
      <w:jc w:val="right"/>
    </w:pPr>
  </w:p>
  <w:p w:rsidR="003443C8" w:rsidRDefault="003443C8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4754" w:rsidRDefault="009C4754" w:rsidP="003443C8">
      <w:pPr>
        <w:spacing w:after="0" w:line="240" w:lineRule="auto"/>
      </w:pPr>
      <w:r>
        <w:separator/>
      </w:r>
    </w:p>
  </w:footnote>
  <w:footnote w:type="continuationSeparator" w:id="0">
    <w:p w:rsidR="009C4754" w:rsidRDefault="009C4754" w:rsidP="0034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57290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95C68" w:rsidRDefault="00195C68">
        <w:pPr>
          <w:pStyle w:val="Antet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95C6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95C6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95C6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195C68">
          <w:rPr>
            <w:rFonts w:ascii="Times New Roman" w:hAnsi="Times New Roman" w:cs="Times New Roman"/>
            <w:sz w:val="28"/>
            <w:szCs w:val="28"/>
            <w:lang w:val="ro-RO"/>
          </w:rPr>
          <w:t>2</w:t>
        </w:r>
        <w:r w:rsidRPr="00195C68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195C68" w:rsidRPr="00195C68" w:rsidRDefault="00195C68" w:rsidP="00195C68">
        <w:pPr>
          <w:pStyle w:val="Antet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  <w:lang w:val="ro-MD"/>
          </w:rPr>
          <w:t xml:space="preserve">Anexa nr. </w:t>
        </w:r>
        <w:r>
          <w:rPr>
            <w:rFonts w:ascii="Times New Roman" w:hAnsi="Times New Roman" w:cs="Times New Roman"/>
            <w:sz w:val="28"/>
            <w:szCs w:val="28"/>
            <w:lang w:val="ro-MD"/>
          </w:rPr>
          <w:t>9 (</w:t>
        </w:r>
        <w:r w:rsidR="0060343E">
          <w:rPr>
            <w:rFonts w:ascii="Times New Roman" w:hAnsi="Times New Roman" w:cs="Times New Roman"/>
            <w:sz w:val="28"/>
            <w:szCs w:val="28"/>
            <w:lang w:val="ro-MD"/>
          </w:rPr>
          <w:t>continuare</w:t>
        </w:r>
        <w:r>
          <w:rPr>
            <w:rFonts w:ascii="Times New Roman" w:hAnsi="Times New Roman" w:cs="Times New Roman"/>
            <w:sz w:val="28"/>
            <w:szCs w:val="28"/>
            <w:lang w:val="ro-MD"/>
          </w:rPr>
          <w:t>)</w:t>
        </w:r>
      </w:p>
    </w:sdtContent>
  </w:sdt>
  <w:p w:rsidR="003443C8" w:rsidRDefault="003443C8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44"/>
    <w:rsid w:val="00000A44"/>
    <w:rsid w:val="000A0DB2"/>
    <w:rsid w:val="000D6172"/>
    <w:rsid w:val="000F3052"/>
    <w:rsid w:val="0011032F"/>
    <w:rsid w:val="00153E48"/>
    <w:rsid w:val="00182AB2"/>
    <w:rsid w:val="00195C68"/>
    <w:rsid w:val="00212D34"/>
    <w:rsid w:val="00225916"/>
    <w:rsid w:val="002341A9"/>
    <w:rsid w:val="00280DA1"/>
    <w:rsid w:val="002F7337"/>
    <w:rsid w:val="003443C8"/>
    <w:rsid w:val="004F732C"/>
    <w:rsid w:val="0060343E"/>
    <w:rsid w:val="006164DA"/>
    <w:rsid w:val="00621D75"/>
    <w:rsid w:val="00656668"/>
    <w:rsid w:val="00787B67"/>
    <w:rsid w:val="007E2CC7"/>
    <w:rsid w:val="007E66D3"/>
    <w:rsid w:val="007F4675"/>
    <w:rsid w:val="00891948"/>
    <w:rsid w:val="00911797"/>
    <w:rsid w:val="009C4754"/>
    <w:rsid w:val="00A431EF"/>
    <w:rsid w:val="00A47DDB"/>
    <w:rsid w:val="00A5231E"/>
    <w:rsid w:val="00A707FB"/>
    <w:rsid w:val="00BD27C7"/>
    <w:rsid w:val="00BD3901"/>
    <w:rsid w:val="00C10F2C"/>
    <w:rsid w:val="00C976CB"/>
    <w:rsid w:val="00DC2790"/>
    <w:rsid w:val="00E61960"/>
    <w:rsid w:val="00E86221"/>
    <w:rsid w:val="00EF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6DB9"/>
  <w15:chartTrackingRefBased/>
  <w15:docId w15:val="{644DF068-8CDD-4B0E-AB63-06938788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g">
    <w:name w:val="rg"/>
    <w:basedOn w:val="Normal"/>
    <w:rsid w:val="000F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n">
    <w:name w:val="cn"/>
    <w:basedOn w:val="Normal"/>
    <w:rsid w:val="000F3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DC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C2790"/>
    <w:rPr>
      <w:rFonts w:ascii="Segoe UI" w:hAnsi="Segoe UI" w:cs="Segoe UI"/>
      <w:sz w:val="18"/>
      <w:szCs w:val="18"/>
    </w:rPr>
  </w:style>
  <w:style w:type="paragraph" w:styleId="Antet">
    <w:name w:val="header"/>
    <w:basedOn w:val="Normal"/>
    <w:link w:val="AntetCaracter"/>
    <w:uiPriority w:val="99"/>
    <w:unhideWhenUsed/>
    <w:rsid w:val="00344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3443C8"/>
  </w:style>
  <w:style w:type="paragraph" w:styleId="Subsol">
    <w:name w:val="footer"/>
    <w:basedOn w:val="Normal"/>
    <w:link w:val="SubsolCaracter"/>
    <w:uiPriority w:val="99"/>
    <w:unhideWhenUsed/>
    <w:rsid w:val="00344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3443C8"/>
  </w:style>
  <w:style w:type="table" w:styleId="Tabelgril">
    <w:name w:val="Table Grid"/>
    <w:basedOn w:val="TabelNormal"/>
    <w:uiPriority w:val="39"/>
    <w:rsid w:val="00110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738D555A62F6499DC99B39A17545CE" ma:contentTypeVersion="17" ma:contentTypeDescription="Create a new document." ma:contentTypeScope="" ma:versionID="51ef2a954b69d86734c14b4cd506bcfe">
  <xsd:schema xmlns:xsd="http://www.w3.org/2001/XMLSchema" xmlns:xs="http://www.w3.org/2001/XMLSchema" xmlns:p="http://schemas.microsoft.com/office/2006/metadata/properties" xmlns:ns2="e590a687-f655-4293-821c-a8c4c8c5993c" xmlns:ns3="6b6090d3-9f40-490c-b14a-1443dd12409b" xmlns:ns4="3e02667f-0271-471b-bd6e-11a2e16def1d" targetNamespace="http://schemas.microsoft.com/office/2006/metadata/properties" ma:root="true" ma:fieldsID="af103c883d2af257059248ef15c4ccfb" ns2:_="" ns3:_="" ns4:_="">
    <xsd:import namespace="e590a687-f655-4293-821c-a8c4c8c5993c"/>
    <xsd:import namespace="6b6090d3-9f40-490c-b14a-1443dd12409b"/>
    <xsd:import namespace="3e02667f-0271-471b-bd6e-11a2e16def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Notes" minOccurs="0"/>
                <xsd:element ref="ns2:lcf76f155ced4ddcb4097134ff3c332f" minOccurs="0"/>
                <xsd:element ref="ns4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a687-f655-4293-821c-a8c4c8c599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090d3-9f40-490c-b14a-1443dd12409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2667f-0271-471b-bd6e-11a2e16def1d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4a2f1736-0d0f-45ed-8ea0-1cc91ec71246}" ma:internalName="TaxCatchAll" ma:showField="CatchAllData" ma:web="6b6090d3-9f40-490c-b14a-1443dd1240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e590a687-f655-4293-821c-a8c4c8c5993c" xsi:nil="true"/>
    <lcf76f155ced4ddcb4097134ff3c332f xmlns="e590a687-f655-4293-821c-a8c4c8c5993c">
      <Terms xmlns="http://schemas.microsoft.com/office/infopath/2007/PartnerControls"/>
    </lcf76f155ced4ddcb4097134ff3c332f>
    <TaxCatchAll xmlns="3e02667f-0271-471b-bd6e-11a2e16def1d" xsi:nil="true"/>
  </documentManagement>
</p:properties>
</file>

<file path=customXml/itemProps1.xml><?xml version="1.0" encoding="utf-8"?>
<ds:datastoreItem xmlns:ds="http://schemas.openxmlformats.org/officeDocument/2006/customXml" ds:itemID="{171E3E91-2FA0-42D9-9739-5A567E580A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2F55C6-50C1-4592-8E1A-B9AC5B00F730}"/>
</file>

<file path=customXml/itemProps3.xml><?xml version="1.0" encoding="utf-8"?>
<ds:datastoreItem xmlns:ds="http://schemas.openxmlformats.org/officeDocument/2006/customXml" ds:itemID="{6373BA06-D998-4077-914D-5E8EDA672C78}"/>
</file>

<file path=customXml/itemProps4.xml><?xml version="1.0" encoding="utf-8"?>
<ds:datastoreItem xmlns:ds="http://schemas.openxmlformats.org/officeDocument/2006/customXml" ds:itemID="{C9DC868B-4322-4D44-A701-553585D033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1494</Words>
  <Characters>8669</Characters>
  <Application>Microsoft Office Word</Application>
  <DocSecurity>0</DocSecurity>
  <Lines>72</Lines>
  <Paragraphs>20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Prodan</dc:creator>
  <cp:keywords/>
  <dc:description/>
  <cp:lastModifiedBy>Maria Marin</cp:lastModifiedBy>
  <cp:revision>3</cp:revision>
  <cp:lastPrinted>2018-12-07T09:45:00Z</cp:lastPrinted>
  <dcterms:created xsi:type="dcterms:W3CDTF">2018-12-05T06:26:00Z</dcterms:created>
  <dcterms:modified xsi:type="dcterms:W3CDTF">2018-12-07T09:45:00Z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0x010100D5738D555A62F6499DC99B39A17545CE</vt:lpwstr>
  </property>
</Properties>
</file>