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78" w:rsidRDefault="00BA4978" w:rsidP="00BA4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:rsidR="00BA4978" w:rsidRDefault="00BA4978" w:rsidP="00BA4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76482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23875" cy="609600"/>
            <wp:effectExtent l="0" t="0" r="9525" b="0"/>
            <wp:docPr id="1" name="Picture 1" descr="\\172.24.5.75\elex\elexdb\ea6b2efbdd4255a9f1b3bbc6399b58f4\f7fdffd0831dbb6a192c8af24a353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24.5.75\elex\elexdb\ea6b2efbdd4255a9f1b3bbc6399b58f4\f7fdffd0831dbb6a192c8af24a3539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5"/>
          <w:szCs w:val="25"/>
        </w:rPr>
      </w:pPr>
      <w:r w:rsidRPr="00A76482">
        <w:rPr>
          <w:rFonts w:ascii="Arial" w:eastAsia="Times New Roman" w:hAnsi="Arial" w:cs="Arial"/>
          <w:b/>
          <w:bCs/>
          <w:sz w:val="25"/>
          <w:szCs w:val="25"/>
        </w:rPr>
        <w:t>PARLAMENTUL REPUBLICII MOLDOVA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A76482">
        <w:rPr>
          <w:rFonts w:ascii="Arial" w:eastAsia="Times New Roman" w:hAnsi="Arial" w:cs="Arial"/>
          <w:sz w:val="24"/>
          <w:szCs w:val="24"/>
        </w:rPr>
        <w:t> 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L E G E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modificarea Legii bugetului de stat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anul 2019 nr.303/2018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nr. 27  din  11.03.2019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  <w:r w:rsidRPr="00A76482">
        <w:rPr>
          <w:rFonts w:ascii="Arial" w:eastAsia="Times New Roman" w:hAnsi="Arial" w:cs="Arial"/>
          <w:i/>
          <w:iCs/>
          <w:lang w:val="ro-RO"/>
        </w:rPr>
        <w:t>(în vigoare 15.03.2019)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lang w:val="ro-RO"/>
        </w:rPr>
      </w:pPr>
      <w:r w:rsidRPr="00A76482">
        <w:rPr>
          <w:rFonts w:ascii="Arial" w:eastAsia="Times New Roman" w:hAnsi="Arial" w:cs="Arial"/>
          <w:lang w:val="ro-RO"/>
        </w:rPr>
        <w:t>Monitorul Oficial al R. Moldova nr. 94-99 art. 166 din 15.03.2019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* * *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Prezenta lege organică este adoptată în temeiul art.106</w:t>
      </w:r>
      <w:r w:rsidRPr="00A76482">
        <w:rPr>
          <w:rFonts w:ascii="Arial" w:eastAsia="Times New Roman" w:hAnsi="Arial" w:cs="Arial"/>
          <w:sz w:val="24"/>
          <w:szCs w:val="24"/>
          <w:vertAlign w:val="superscript"/>
          <w:lang w:val="ro-RO"/>
        </w:rPr>
        <w:t>1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Constituţie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, prin angajarea răspunderii Guvernului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faţă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de Parlament.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Art.I</w:t>
      </w:r>
      <w:proofErr w:type="spellEnd"/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– Legea bugetului de stat pentru anul 2019 nr.303/2018 (Monitorul Oficial al Republicii Moldova, 2018, nr.504–511, art.842), cu modificările ulterioare, se modifică după cum urmează: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1.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Articolul 3: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la litera a)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liniuţa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întîi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>, cifrele “8575342,1” se substituie cu cifrele “8880733,0”;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la litera c), cifrele “140000,0” se substituie cu cifrele “55000,0”;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la litera g), cifrele “646746,5” se substituie cu cifrele “426355,6”.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2.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La anexa nr.1,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poziţiile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“Cheltuieli de personal”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“Transferuri acordate în cadrul bugetului public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naţional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>” vor avea următorul cuprins: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tbl>
      <w:tblPr>
        <w:tblW w:w="4954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0"/>
        <w:gridCol w:w="460"/>
        <w:gridCol w:w="1884"/>
      </w:tblGrid>
      <w:tr w:rsidR="00A76482" w:rsidRPr="00A76482" w:rsidTr="00A76482">
        <w:trPr>
          <w:trHeight w:val="23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“Cheltuieli de 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7006331,9</w:t>
            </w:r>
          </w:p>
        </w:tc>
      </w:tr>
      <w:tr w:rsidR="00A76482" w:rsidRPr="00A76482" w:rsidTr="00A76482">
        <w:trPr>
          <w:trHeight w:val="36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Transferuri acordate în cadrul bugetului public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lang w:val="ro-RO"/>
              </w:rPr>
              <w:t>naţional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22860803,4”.</w:t>
            </w:r>
          </w:p>
        </w:tc>
      </w:tr>
    </w:tbl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3.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La anexa nr.3: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punctul 3.1, în compartimentul “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Acţiuni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generale”: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la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subcompartimentul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“Servicii de stat cu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destinaţie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generală”,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poziţiile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“Cheltuieli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active nefinanciare, total”, “Reforma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administraţiei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publice”, “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Acţiuni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cu caracter general” vor avea următorul cuprins: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tbl>
      <w:tblPr>
        <w:tblW w:w="4914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2"/>
        <w:gridCol w:w="797"/>
        <w:gridCol w:w="2808"/>
      </w:tblGrid>
      <w:tr w:rsidR="00A76482" w:rsidRPr="00A76482" w:rsidTr="00A76482">
        <w:trPr>
          <w:jc w:val="center"/>
        </w:trPr>
        <w:tc>
          <w:tcPr>
            <w:tcW w:w="3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“Cheltuieli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lang w:val="ro-RO"/>
              </w:rPr>
              <w:t>şi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 active nefinanciare,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</w:p>
        </w:tc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4739369,4”;</w:t>
            </w:r>
          </w:p>
        </w:tc>
      </w:tr>
      <w:tr w:rsidR="00A76482" w:rsidRPr="00A76482" w:rsidTr="00A76482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 </w:t>
            </w:r>
          </w:p>
        </w:tc>
      </w:tr>
      <w:tr w:rsidR="00A76482" w:rsidRPr="00A76482" w:rsidTr="00A76482">
        <w:trPr>
          <w:jc w:val="center"/>
        </w:trPr>
        <w:tc>
          <w:tcPr>
            <w:tcW w:w="3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 xml:space="preserve">“Reforma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administraţiei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 xml:space="preserve"> publice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0804</w:t>
            </w:r>
          </w:p>
        </w:tc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55000,0</w:t>
            </w:r>
          </w:p>
        </w:tc>
      </w:tr>
      <w:tr w:rsidR="00A76482" w:rsidRPr="00A76482" w:rsidTr="00A76482">
        <w:trPr>
          <w:jc w:val="center"/>
        </w:trPr>
        <w:tc>
          <w:tcPr>
            <w:tcW w:w="3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proofErr w:type="spellStart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Acţiuni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 xml:space="preserve"> cu caracter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0808</w:t>
            </w:r>
          </w:p>
        </w:tc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455355,6”;</w:t>
            </w:r>
          </w:p>
        </w:tc>
      </w:tr>
    </w:tbl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la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subcompartimentul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Protecţie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socială”,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poziţiile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“Cheltuieli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active nefinanciare, total”, “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Susţinerea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suplimentară a unor categorii de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populaţie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”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Protecţia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socială a persoanelor în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situaţii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de risc” vor avea următorul cuprins: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tbl>
      <w:tblPr>
        <w:tblW w:w="4663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4"/>
        <w:gridCol w:w="613"/>
        <w:gridCol w:w="1404"/>
      </w:tblGrid>
      <w:tr w:rsidR="00A76482" w:rsidRPr="00A76482" w:rsidTr="00A76482">
        <w:trPr>
          <w:jc w:val="center"/>
        </w:trPr>
        <w:tc>
          <w:tcPr>
            <w:tcW w:w="38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“Cheltuieli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lang w:val="ro-RO"/>
              </w:rPr>
              <w:t>şi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 active nefinanciare,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9215752,8”;</w:t>
            </w:r>
          </w:p>
        </w:tc>
      </w:tr>
      <w:tr w:rsidR="00A76482" w:rsidRPr="00A76482" w:rsidTr="00A76482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 </w:t>
            </w:r>
          </w:p>
        </w:tc>
      </w:tr>
      <w:tr w:rsidR="00A76482" w:rsidRPr="00A76482" w:rsidTr="00A76482">
        <w:trPr>
          <w:jc w:val="center"/>
        </w:trPr>
        <w:tc>
          <w:tcPr>
            <w:tcW w:w="38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“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Susţinerea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 xml:space="preserve"> suplimentară a unor categorii de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populaţie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9011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1102441,8”;</w:t>
            </w:r>
          </w:p>
        </w:tc>
      </w:tr>
      <w:tr w:rsidR="00A76482" w:rsidRPr="00A76482" w:rsidTr="00A76482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 </w:t>
            </w:r>
          </w:p>
        </w:tc>
      </w:tr>
      <w:tr w:rsidR="00A76482" w:rsidRPr="00A76482" w:rsidTr="00A76482">
        <w:trPr>
          <w:jc w:val="center"/>
        </w:trPr>
        <w:tc>
          <w:tcPr>
            <w:tcW w:w="38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“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Protecţia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 xml:space="preserve"> socială a persoanelor în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situaţii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 xml:space="preserve"> de risc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9015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i/>
                <w:iCs/>
                <w:lang w:val="ro-RO"/>
              </w:rPr>
              <w:t>4938605,4”.</w:t>
            </w:r>
          </w:p>
        </w:tc>
      </w:tr>
    </w:tbl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4.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La anexa nr.4: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compartimentul “Servicii de stat cu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destinaţie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generală”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poziţia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“Servicii de stat cu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destinaţie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generală neatribuite la alte grupe” vor avea următorul cuprins: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tbl>
      <w:tblPr>
        <w:tblW w:w="4612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7"/>
        <w:gridCol w:w="453"/>
        <w:gridCol w:w="1472"/>
      </w:tblGrid>
      <w:tr w:rsidR="00A76482" w:rsidRPr="00A76482" w:rsidTr="00A76482">
        <w:trPr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 xml:space="preserve">“Servicii de stat cu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destinaţie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 xml:space="preserve"> generală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01</w:t>
            </w:r>
          </w:p>
        </w:tc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8244641,8”</w:t>
            </w:r>
            <w:r w:rsidRPr="00A76482">
              <w:rPr>
                <w:rFonts w:ascii="Times New Roman" w:eastAsia="Times New Roman" w:hAnsi="Times New Roman" w:cs="Times New Roman"/>
                <w:lang w:val="ro-RO"/>
              </w:rPr>
              <w:t>;</w:t>
            </w:r>
          </w:p>
        </w:tc>
      </w:tr>
      <w:tr w:rsidR="00A76482" w:rsidRPr="00A76482" w:rsidTr="00A76482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 </w:t>
            </w:r>
          </w:p>
        </w:tc>
      </w:tr>
      <w:tr w:rsidR="00A76482" w:rsidRPr="00A76482" w:rsidTr="00A76482">
        <w:trPr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“Servicii de stat cu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lang w:val="ro-RO"/>
              </w:rPr>
              <w:t>destinaţie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 generală neatribuite la alte grupe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016</w:t>
            </w:r>
          </w:p>
        </w:tc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988905,5”;</w:t>
            </w:r>
          </w:p>
        </w:tc>
      </w:tr>
    </w:tbl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compartimentul “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Protecţie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socială”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poziţia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“Alte servicii în domeniul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protecţiei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sociale neatribuite la alte grupe” vor avea următorul cuprins: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tbl>
      <w:tblPr>
        <w:tblW w:w="4672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7"/>
        <w:gridCol w:w="426"/>
        <w:gridCol w:w="1215"/>
      </w:tblGrid>
      <w:tr w:rsidR="00A76482" w:rsidRPr="00A76482" w:rsidTr="00A76482">
        <w:trPr>
          <w:jc w:val="center"/>
        </w:trPr>
        <w:tc>
          <w:tcPr>
            <w:tcW w:w="4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“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Protecţie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 xml:space="preserve"> socială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9880425,7”;</w:t>
            </w:r>
          </w:p>
        </w:tc>
      </w:tr>
      <w:tr w:rsidR="00A76482" w:rsidRPr="00A76482" w:rsidTr="00A76482">
        <w:trPr>
          <w:jc w:val="center"/>
        </w:trPr>
        <w:tc>
          <w:tcPr>
            <w:tcW w:w="500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 </w:t>
            </w:r>
          </w:p>
        </w:tc>
      </w:tr>
      <w:tr w:rsidR="00A76482" w:rsidRPr="00A76482" w:rsidTr="00A76482">
        <w:trPr>
          <w:jc w:val="center"/>
        </w:trPr>
        <w:tc>
          <w:tcPr>
            <w:tcW w:w="4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“A</w:t>
            </w:r>
            <w:bookmarkStart w:id="0" w:name="_GoBack"/>
            <w:bookmarkEnd w:id="0"/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lte servicii în domeniul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lang w:val="ro-RO"/>
              </w:rPr>
              <w:t>protecţiei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 sociale neatribuite la alte grupe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9270960,6”.</w:t>
            </w:r>
          </w:p>
        </w:tc>
      </w:tr>
    </w:tbl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5.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La anexa nr.5,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poziţiile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Acţiuni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generale” </w:t>
      </w:r>
      <w:proofErr w:type="spellStart"/>
      <w:r w:rsidRPr="00A76482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“TOTAL” vor avea următorul cuprins: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tbl>
      <w:tblPr>
        <w:tblW w:w="4663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7"/>
        <w:gridCol w:w="1229"/>
        <w:gridCol w:w="2715"/>
      </w:tblGrid>
      <w:tr w:rsidR="00A76482" w:rsidRPr="00A76482" w:rsidTr="00A76482">
        <w:trPr>
          <w:jc w:val="center"/>
        </w:trPr>
        <w:tc>
          <w:tcPr>
            <w:tcW w:w="2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“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lang w:val="ro-RO"/>
              </w:rPr>
              <w:t>Acţiuni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lang w:val="ro-RO"/>
              </w:rPr>
              <w:t xml:space="preserve"> generale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0799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lang w:val="ro-RO"/>
              </w:rPr>
              <w:t>426355,6</w:t>
            </w:r>
          </w:p>
        </w:tc>
      </w:tr>
      <w:tr w:rsidR="00A76482" w:rsidRPr="00A76482" w:rsidTr="00A76482">
        <w:trPr>
          <w:jc w:val="center"/>
        </w:trPr>
        <w:tc>
          <w:tcPr>
            <w:tcW w:w="28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7006331,9</w:t>
            </w:r>
            <w:r w:rsidRPr="00A76482">
              <w:rPr>
                <w:rFonts w:ascii="Times New Roman" w:eastAsia="Times New Roman" w:hAnsi="Times New Roman" w:cs="Times New Roman"/>
                <w:lang w:val="ro-RO"/>
              </w:rPr>
              <w:t>”.</w:t>
            </w:r>
          </w:p>
        </w:tc>
      </w:tr>
    </w:tbl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76482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A76482" w:rsidRPr="00A76482" w:rsidRDefault="00A76482" w:rsidP="00A76482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Art.II</w:t>
      </w:r>
      <w:proofErr w:type="spellEnd"/>
      <w:r w:rsidRPr="00A76482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Pr="00A76482">
        <w:rPr>
          <w:rFonts w:ascii="Arial" w:eastAsia="Times New Roman" w:hAnsi="Arial" w:cs="Arial"/>
          <w:sz w:val="24"/>
          <w:szCs w:val="24"/>
          <w:lang w:val="ro-RO"/>
        </w:rPr>
        <w:t xml:space="preserve"> – Prezenta lege intră în vigoare la data publicării în Monitorul Oficial al Republicii Moldova.</w:t>
      </w:r>
    </w:p>
    <w:tbl>
      <w:tblPr>
        <w:tblW w:w="0" w:type="auto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1"/>
        <w:gridCol w:w="1741"/>
      </w:tblGrid>
      <w:tr w:rsidR="00A76482" w:rsidRPr="00A76482" w:rsidTr="00A76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48" w:type="dxa"/>
              <w:bottom w:w="24" w:type="dxa"/>
              <w:right w:w="1680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PREŞEDINTELE PARLAMENTULUI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o-RO"/>
              </w:rPr>
            </w:pPr>
            <w:proofErr w:type="spellStart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Andrian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 xml:space="preserve"> CANDU</w:t>
            </w:r>
          </w:p>
        </w:tc>
      </w:tr>
      <w:tr w:rsidR="00A76482" w:rsidRPr="00A76482" w:rsidTr="00A7648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48" w:type="dxa"/>
              <w:bottom w:w="24" w:type="dxa"/>
              <w:right w:w="48" w:type="dxa"/>
            </w:tcMar>
            <w:hideMark/>
          </w:tcPr>
          <w:p w:rsidR="00A76482" w:rsidRPr="00A76482" w:rsidRDefault="00A76482" w:rsidP="00A76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o-RO"/>
              </w:rPr>
            </w:pPr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 xml:space="preserve">Nr.27. </w:t>
            </w:r>
            <w:proofErr w:type="spellStart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Chişinău</w:t>
            </w:r>
            <w:proofErr w:type="spellEnd"/>
            <w:r w:rsidRPr="00A76482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, 11 martie 2019.</w:t>
            </w:r>
          </w:p>
        </w:tc>
      </w:tr>
    </w:tbl>
    <w:p w:rsidR="00554744" w:rsidRPr="00BA4978" w:rsidRDefault="00A76482" w:rsidP="00A76482">
      <w:pPr>
        <w:spacing w:after="0" w:line="240" w:lineRule="auto"/>
        <w:jc w:val="center"/>
        <w:rPr>
          <w:lang w:val="ro-RO"/>
        </w:rPr>
      </w:pPr>
    </w:p>
    <w:sectPr w:rsidR="00554744" w:rsidRPr="00BA49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78"/>
    <w:rsid w:val="00944BF2"/>
    <w:rsid w:val="00A76482"/>
    <w:rsid w:val="00BA4978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F0134-CBB4-47E7-B945-8EFB1DB5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n">
    <w:name w:val="cn"/>
    <w:basedOn w:val="Normal"/>
    <w:rsid w:val="00A7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it">
    <w:name w:val="emit"/>
    <w:basedOn w:val="Normal"/>
    <w:rsid w:val="00A7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sp">
    <w:name w:val="tt_sp"/>
    <w:basedOn w:val="Normal"/>
    <w:rsid w:val="00A7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A7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">
    <w:name w:val="tt"/>
    <w:basedOn w:val="Normal"/>
    <w:rsid w:val="00A7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">
    <w:name w:val="pb"/>
    <w:basedOn w:val="Normal"/>
    <w:rsid w:val="00A7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A7652A20-A957-428D-9A41-8064F970C33A}"/>
</file>

<file path=customXml/itemProps2.xml><?xml version="1.0" encoding="utf-8"?>
<ds:datastoreItem xmlns:ds="http://schemas.openxmlformats.org/officeDocument/2006/customXml" ds:itemID="{67DBAE32-FED1-4F2A-9A7B-D282DD9A63B0}"/>
</file>

<file path=customXml/itemProps3.xml><?xml version="1.0" encoding="utf-8"?>
<ds:datastoreItem xmlns:ds="http://schemas.openxmlformats.org/officeDocument/2006/customXml" ds:itemID="{182FB001-9375-401D-B9A2-147A2D57E5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Chirila Veronica</dc:creator>
  <cp:keywords/>
  <dc:description/>
  <cp:lastModifiedBy>Chirila Veronica</cp:lastModifiedBy>
  <cp:revision>2</cp:revision>
  <dcterms:created xsi:type="dcterms:W3CDTF">2019-03-19T06:48:00Z</dcterms:created>
  <dcterms:modified xsi:type="dcterms:W3CDTF">2019-03-19T07:13:00Z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