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81E8" w14:textId="52191229" w:rsidR="00F2647D" w:rsidRPr="00DA0052" w:rsidRDefault="002552D6" w:rsidP="00856E3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bookmarkStart w:id="0" w:name="_GoBack"/>
      <w:bookmarkEnd w:id="0"/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F2647D" w:rsidRPr="00DA0052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Anexa nr.</w:t>
      </w:r>
      <w:r w:rsidR="007E7989" w:rsidRPr="00DA0052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="00F2647D" w:rsidRPr="00DA0052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9</w:t>
      </w:r>
    </w:p>
    <w:p w14:paraId="5BCD3889" w14:textId="52802EFA" w:rsidR="00DA0052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14:paraId="1A971F2A" w14:textId="77777777" w:rsidR="00D10B45" w:rsidRPr="000A2DAF" w:rsidRDefault="00D10B45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14:paraId="5C679AE6" w14:textId="448274F2" w:rsidR="00F2647D" w:rsidRPr="00856E34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Determinarea cuantumului minim al chiriei</w:t>
      </w:r>
    </w:p>
    <w:p w14:paraId="0DAE590D" w14:textId="77777777" w:rsidR="00F2647D" w:rsidRPr="00856E34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bunurilor proprietate publică</w:t>
      </w:r>
    </w:p>
    <w:p w14:paraId="749B05FC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7A419293" w14:textId="0B519C56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1.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Cuantumul minim al chiriei anuale pentru folosirea încăperilor 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suprafe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elor amenajate se calculează după formula:</w:t>
      </w:r>
    </w:p>
    <w:p w14:paraId="40A0FF53" w14:textId="77777777" w:rsidR="00F2647D" w:rsidRPr="00856E34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7B6FD89C" w14:textId="32737694" w:rsidR="00F2647D" w:rsidRPr="00856E34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P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ai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=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T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b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(1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+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1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+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2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+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3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) ×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4</w:t>
      </w:r>
      <w:r w:rsidRPr="00856E34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 </w:t>
      </w:r>
      <w:r w:rsidRPr="00856E3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S</w:t>
      </w:r>
      <w:r w:rsidR="003900A4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 xml:space="preserve"> </w:t>
      </w:r>
      <w:r w:rsidRPr="00C86DDA"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  <w:t>,</w:t>
      </w:r>
    </w:p>
    <w:p w14:paraId="0CD5C120" w14:textId="77777777" w:rsidR="00F2647D" w:rsidRPr="00856E34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7F5EA431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 care:</w:t>
      </w:r>
    </w:p>
    <w:p w14:paraId="6CCDD526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P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ai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 xml:space="preserve"> –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cuantumul chiriei anuale;</w:t>
      </w:r>
    </w:p>
    <w:p w14:paraId="2F76FBA1" w14:textId="7ECFD561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T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b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tariful de bază pentru chiria anuală a unui metru pătrat de spa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iu;</w:t>
      </w:r>
    </w:p>
    <w:p w14:paraId="02A02DD4" w14:textId="7684E723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1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amplasare a încăperii/suprafe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ei amenajate;</w:t>
      </w:r>
    </w:p>
    <w:p w14:paraId="560AC56D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2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 xml:space="preserve"> –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coeficientul de amenajare tehnică;</w:t>
      </w:r>
    </w:p>
    <w:p w14:paraId="7644D544" w14:textId="2B50950C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3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ramură privind utilizarea încăperii/suprafe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ei amenajate;</w:t>
      </w:r>
    </w:p>
    <w:p w14:paraId="49B68D69" w14:textId="4792DE39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4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pia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ă;</w:t>
      </w:r>
    </w:p>
    <w:p w14:paraId="7B5BCAC9" w14:textId="63EF2C42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S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suprafa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 închiriată.</w:t>
      </w:r>
    </w:p>
    <w:p w14:paraId="0B7F7277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3356F302" w14:textId="22BBCAD3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Valoarea coeficien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ilor folosi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în calcule se determină după următoarele criterii:</w:t>
      </w:r>
    </w:p>
    <w:tbl>
      <w:tblPr>
        <w:tblW w:w="477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  <w:gridCol w:w="1559"/>
      </w:tblGrid>
      <w:tr w:rsidR="00F2647D" w:rsidRPr="002D3789" w14:paraId="58DDA1F2" w14:textId="77777777" w:rsidTr="00856E34"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9B55AE9" w14:textId="77777777" w:rsidR="00F2647D" w:rsidRPr="00D10B45" w:rsidRDefault="00F2647D" w:rsidP="00856E34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  </w:t>
            </w:r>
          </w:p>
          <w:p w14:paraId="78E1E74C" w14:textId="2EA03F84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a) tariful de bază pentru chiria anuală a unui metru pătrat de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iu (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T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b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):</w:t>
            </w:r>
          </w:p>
          <w:p w14:paraId="2D6D658D" w14:textId="4096EBD3" w:rsidR="00691592" w:rsidRPr="00856E34" w:rsidRDefault="00691592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</w:tr>
      <w:tr w:rsidR="00F2647D" w:rsidRPr="00856E34" w14:paraId="14DFCC8B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99AA4F1" w14:textId="46DA9FCF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municipiul Chi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inău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CB69E32" w14:textId="1BBA0E2F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373,1 lei</w:t>
            </w:r>
          </w:p>
        </w:tc>
      </w:tr>
      <w:tr w:rsidR="00F2647D" w:rsidRPr="00856E34" w14:paraId="31A480F5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8B6A4F2" w14:textId="34C54505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municipiul Băl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1E2B773" w14:textId="4BBEEA94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264,6 lei</w:t>
            </w:r>
          </w:p>
        </w:tc>
      </w:tr>
      <w:tr w:rsidR="00F2647D" w:rsidRPr="00856E34" w14:paraId="484C044F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EF40A1A" w14:textId="09853C4A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celelalte municipii, ora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ele-re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edin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3344BC8" w14:textId="763A10DF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192,4 lei</w:t>
            </w:r>
          </w:p>
        </w:tc>
      </w:tr>
      <w:tr w:rsidR="00F2647D" w:rsidRPr="00856E34" w14:paraId="488AA765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74E1D92" w14:textId="6BF92BC3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ora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ele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localită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ile suburbane din componen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 municipiilor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AD13FD4" w14:textId="2CA62470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144,4 lei</w:t>
            </w:r>
          </w:p>
        </w:tc>
      </w:tr>
      <w:tr w:rsidR="00F2647D" w:rsidRPr="00856E34" w14:paraId="362ED277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A449F71" w14:textId="0DF7F2DA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localită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ile săte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ti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5A56C0D" w14:textId="7CD0A60A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48,2 lei</w:t>
            </w:r>
          </w:p>
        </w:tc>
      </w:tr>
      <w:tr w:rsidR="00F2647D" w:rsidRPr="002D3789" w14:paraId="253EB404" w14:textId="77777777" w:rsidTr="00856E34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85398D4" w14:textId="185ACF5E" w:rsidR="00583334" w:rsidRPr="00D10B45" w:rsidRDefault="00F2647D" w:rsidP="00D10B45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  </w:t>
            </w:r>
          </w:p>
          <w:p w14:paraId="1C4A0BD0" w14:textId="125920F0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b) coeficientul de amplasare a încăperii/suprafe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ei amenajate 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(K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1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):</w:t>
            </w:r>
          </w:p>
          <w:p w14:paraId="4AEDF0E1" w14:textId="0D735329" w:rsidR="00691592" w:rsidRPr="00856E34" w:rsidRDefault="00691592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</w:tr>
      <w:tr w:rsidR="00F2647D" w:rsidRPr="00856E34" w14:paraId="3FA9EECA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18CD3D8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clădire separată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2A7EFDE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F2647D" w:rsidRPr="00856E34" w14:paraId="487453D1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53A9EBC" w14:textId="4AC9A07F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construc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încorporată sau anexată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4E88CF4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0,45</w:t>
            </w:r>
          </w:p>
        </w:tc>
      </w:tr>
      <w:tr w:rsidR="00F2647D" w:rsidRPr="00856E34" w14:paraId="3DF37818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1C05756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încăpere supraterană, inclusiv parter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AE352FD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F2647D" w:rsidRPr="00856E34" w14:paraId="6EC675C0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05315CC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soclu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E780E39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0,35</w:t>
            </w:r>
          </w:p>
        </w:tc>
      </w:tr>
      <w:tr w:rsidR="00F2647D" w:rsidRPr="00856E34" w14:paraId="4E20B319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EA026CF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demisol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0FDA7F1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</w:t>
            </w:r>
          </w:p>
        </w:tc>
      </w:tr>
      <w:tr w:rsidR="00F2647D" w:rsidRPr="00856E34" w14:paraId="2021388E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783AB4F" w14:textId="4879F0D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subsol cu geamuri, etaj tehnic, acoperi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14FDEBF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F2647D" w:rsidRPr="00856E34" w14:paraId="150E7629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5835A1B" w14:textId="2605E396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alte subsoluri, suprafa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 amenajată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B249255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</w:t>
            </w:r>
          </w:p>
        </w:tc>
      </w:tr>
      <w:tr w:rsidR="00F2647D" w:rsidRPr="002D3789" w14:paraId="735C2C05" w14:textId="77777777" w:rsidTr="00856E34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4764D4D" w14:textId="0A1AC46D" w:rsidR="00583334" w:rsidRDefault="00F2647D" w:rsidP="00583334">
            <w:pPr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  </w:t>
            </w:r>
          </w:p>
          <w:p w14:paraId="1200DB51" w14:textId="03DF9C28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c) coeficientul de amenajare tehnică (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K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2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):</w:t>
            </w:r>
          </w:p>
          <w:p w14:paraId="0005A373" w14:textId="5FB3DBB7" w:rsidR="00691592" w:rsidRPr="00856E34" w:rsidRDefault="00691592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</w:tr>
      <w:tr w:rsidR="00F2647D" w:rsidRPr="00856E34" w14:paraId="2877AA8F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211B354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apă caldă, încălzire centrală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C197A59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F2647D" w:rsidRPr="00856E34" w14:paraId="26B2D789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1D6FE1A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încălzire centrală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FDEF03A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F2647D" w:rsidRPr="00856E34" w14:paraId="0DE20180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6035CFD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apă caldă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A1334EB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</w:t>
            </w:r>
          </w:p>
        </w:tc>
      </w:tr>
      <w:tr w:rsidR="00F2647D" w:rsidRPr="00856E34" w14:paraId="638E96E8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2605515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apeduct, canalizare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4ACC858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F2647D" w:rsidRPr="00856E34" w14:paraId="6478F3FF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040324C" w14:textId="77777777" w:rsidR="00F2647D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încălzire centrală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9D67CA7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F2647D" w:rsidRPr="00856E34" w14:paraId="1644BE6B" w14:textId="77777777" w:rsidTr="00856E34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F357BF8" w14:textId="28237CAD" w:rsidR="000A2DAF" w:rsidRPr="00856E34" w:rsidRDefault="00F2647D" w:rsidP="008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lipse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 amenajarea tehnică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1E19603" w14:textId="77777777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</w:t>
            </w:r>
          </w:p>
        </w:tc>
      </w:tr>
      <w:tr w:rsidR="00F2647D" w:rsidRPr="002D3789" w14:paraId="4770D063" w14:textId="77777777" w:rsidTr="000A2DAF">
        <w:trPr>
          <w:jc w:val="center"/>
        </w:trPr>
        <w:tc>
          <w:tcPr>
            <w:tcW w:w="5000" w:type="pct"/>
            <w:gridSpan w:val="2"/>
            <w:tcBorders>
              <w:left w:val="nil"/>
              <w:bottom w:val="single" w:sz="6" w:space="0" w:color="auto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83CE7C0" w14:textId="77777777" w:rsidR="00851803" w:rsidRDefault="00851803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  <w:p w14:paraId="4E28AB82" w14:textId="308277DB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BA400C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d) coeficientul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ramură privind utilizarea încăperii/suprafe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ei amenajate (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K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3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):</w:t>
            </w:r>
          </w:p>
          <w:p w14:paraId="394C8400" w14:textId="45EA721D" w:rsidR="00691592" w:rsidRPr="00856E34" w:rsidRDefault="00691592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</w:p>
        </w:tc>
      </w:tr>
      <w:tr w:rsidR="00F2647D" w:rsidRPr="00856E34" w14:paraId="0888DFB2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DF73E61" w14:textId="3BB833EA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1) ateliere de crea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ale pictorilor, sculptorilor, arhitec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ilor, me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terilor populari;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utilizate de chiria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în scopuri medicale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farmaceutice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</w:t>
            </w:r>
            <w:r w:rsidR="000D271C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de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organiza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ob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ti ale persoanelor cu dizabilită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întreprinderile lor;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utilizate pentru realizarea ac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iunilor în masă din cadrul proiectelor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programelor finan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ate de la bugetul public na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ional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2120F5F8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0,05</w:t>
            </w:r>
          </w:p>
        </w:tc>
      </w:tr>
      <w:tr w:rsidR="00F2647D" w:rsidRPr="00856E34" w14:paraId="6A8A577E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5FA76C6" w14:textId="6C72EEE1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2) institu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finan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ate de la bugetul de stat, de la bugetele unită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ilor administrativ-teritoriale, de la bugetul asigurărilor sociale de stat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din fondurile asigurării obligatorii de asisten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 medicală, alte persoane juridice de drept public; patronate, funda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ii, asocia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ob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ti</w:t>
            </w:r>
            <w:r w:rsidR="00E5515A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, suprafe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="00E5515A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 amenajate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74AB4BDD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0,1</w:t>
            </w:r>
          </w:p>
        </w:tc>
      </w:tr>
      <w:tr w:rsidR="00F2647D" w:rsidRPr="00856E34" w14:paraId="545F10B6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84B6080" w14:textId="7F59A564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3)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ii pentru laboratoare, pentru instruire, pentru efectuarea de lucrări de cercetare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proiectare;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pentru prestarea de servicii po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tale, sportive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întremare a sănătă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5EC205A2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F2647D" w:rsidRPr="00856E34" w14:paraId="7F26F000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E10EF6E" w14:textId="474268B4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4) garaje, depozite,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tehnice (cu excep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ia celor men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ionate la pozi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ia 6)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alte încăperi auxiliare;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pentru prestarea de servicii către popula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(ateliere de repara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a încăl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ămintei, a îmbrăcămintei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a obiectelor de uz casnic, frizerii, cură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ătorii chimice, puncte de închiriere a obiectelor, băi, birouri de avoca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i)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4ABE3C95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F2647D" w:rsidRPr="00856E34" w14:paraId="35FF1259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3D221F8" w14:textId="6E579E4C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5)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folosite pentru comercializarea produselor de panifica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ie, a produselor lactate, alimentare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cofetărie, a băuturilor nealcoolice; unită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alimenta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ie publică cu preparare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comercializare a bucatelor;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de produc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ie; sedii (încăperi) folosite de organele mijloacelor de informare în masă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7F6DE535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F2647D" w:rsidRPr="00856E34" w14:paraId="546BF44A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56FAFFC" w14:textId="2AFD9E53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6) încăperi pentru repara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ia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deservirea tehnică a automobilelor, a tehnicii de calcul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a altor utilaje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78BF0D3E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0,7</w:t>
            </w:r>
          </w:p>
        </w:tc>
      </w:tr>
      <w:tr w:rsidR="00F2647D" w:rsidRPr="00856E34" w14:paraId="705E7E5A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C87A2F5" w14:textId="0D5773A1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7)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folosite în scopuri de comer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, altele dec</w:t>
            </w:r>
            <w:r w:rsidR="007A3D50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â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 cele prevăzute la</w:t>
            </w:r>
            <w:r w:rsidR="007A3D50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pozi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ia 5)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0A83764F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0,8</w:t>
            </w:r>
          </w:p>
        </w:tc>
      </w:tr>
      <w:tr w:rsidR="00F2647D" w:rsidRPr="00856E34" w14:paraId="12C1E851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42231BC" w14:textId="14056033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8) încăperi folosite pentru jocuri electronice, jocuri computerizate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alte jocuri distractive pentru copii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5EDB00FE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1,2</w:t>
            </w:r>
          </w:p>
        </w:tc>
      </w:tr>
      <w:tr w:rsidR="00F2647D" w:rsidRPr="00856E34" w14:paraId="359CF14D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3FA2F50" w14:textId="77777777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9) încăperi utilizate în calitate de oficii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1FF5D945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1,5</w:t>
            </w:r>
          </w:p>
        </w:tc>
      </w:tr>
      <w:tr w:rsidR="00F2647D" w:rsidRPr="00856E34" w14:paraId="4219715F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0E1EA84" w14:textId="65CB1B80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10) institu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financiare, burse, companii de asigurare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55EEB819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2,0</w:t>
            </w:r>
          </w:p>
        </w:tc>
      </w:tr>
      <w:tr w:rsidR="00F2647D" w:rsidRPr="00856E34" w14:paraId="3732B16D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51F1EA1" w14:textId="175A247A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11) restaurante, baruri, cafenele cu servire</w:t>
            </w:r>
            <w:r w:rsidR="00C86DDA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 băuturilor alcoolice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75E6ED83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2,5</w:t>
            </w:r>
          </w:p>
        </w:tc>
      </w:tr>
      <w:tr w:rsidR="00F2647D" w:rsidRPr="00856E34" w14:paraId="45B42400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ECD7FBC" w14:textId="4884D9EC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12) case de schimb valutar, puncte de înregistrare video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închiriere a produc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iei video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1CAA20AC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3,0</w:t>
            </w:r>
          </w:p>
        </w:tc>
      </w:tr>
      <w:tr w:rsidR="00F2647D" w:rsidRPr="00856E34" w14:paraId="0EADE894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AD5F2B6" w14:textId="77777777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13) încăperi folosite pentru jocuri de noroc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6CCCFA5E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4,0</w:t>
            </w:r>
          </w:p>
        </w:tc>
      </w:tr>
      <w:tr w:rsidR="00F2647D" w:rsidRPr="00856E34" w14:paraId="1DB8D9C0" w14:textId="77777777" w:rsidTr="006B264D">
        <w:trPr>
          <w:jc w:val="center"/>
        </w:trPr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0C03621" w14:textId="7D20DF9E" w:rsidR="00F2647D" w:rsidRPr="00856E34" w:rsidRDefault="00F2647D" w:rsidP="00C86D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14) încăperi cu altă destina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dec</w:t>
            </w:r>
            <w:r w:rsidR="006B264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â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 cele enumerate la pozi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1)–13)</w:t>
            </w:r>
          </w:p>
        </w:tc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bottom"/>
            <w:hideMark/>
          </w:tcPr>
          <w:p w14:paraId="28E96AF4" w14:textId="77777777" w:rsidR="00F2647D" w:rsidRPr="00856E34" w:rsidRDefault="00F2647D" w:rsidP="006B264D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1,0</w:t>
            </w:r>
          </w:p>
        </w:tc>
      </w:tr>
    </w:tbl>
    <w:p w14:paraId="53DE5102" w14:textId="77777777" w:rsidR="000D271C" w:rsidRPr="000D271C" w:rsidRDefault="000D271C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4774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F2647D" w:rsidRPr="002D3789" w14:paraId="4FFC9B50" w14:textId="77777777" w:rsidTr="000D271C">
        <w:trPr>
          <w:jc w:val="center"/>
        </w:trPr>
        <w:tc>
          <w:tcPr>
            <w:tcW w:w="5000" w:type="pct"/>
            <w:tcBorders>
              <w:left w:val="nil"/>
              <w:bottom w:val="nil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1F5E043" w14:textId="6BD94066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BA400C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e)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coeficientul de pia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 (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K</w:t>
            </w:r>
            <w:r w:rsidRPr="00856E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4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) se stabile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 prin</w:t>
            </w:r>
            <w:r w:rsidR="002911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tr-o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în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elegere</w:t>
            </w:r>
            <w:r w:rsidR="002911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 păr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ilor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nu poate fi mai mic de 1,0, iar pentru genurile de activitate desfă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urate în încăperile men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ionate la lit.</w:t>
            </w:r>
            <w:r w:rsidR="007A3D50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d) pozi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1)–6)</w:t>
            </w:r>
            <w:r w:rsidR="002911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,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el nu poate fi mai mic de 0,5, excep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 făc</w:t>
            </w:r>
            <w:r w:rsidR="007A3D50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â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nd:</w:t>
            </w:r>
          </w:p>
          <w:p w14:paraId="00A969A6" w14:textId="4366C1A1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– încăperile folosite de organele mijloacelor de informare în masă, pentru care coeficientul de pia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 se stabile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 în intervalul de la 1,0 la 1,5;</w:t>
            </w:r>
          </w:p>
          <w:p w14:paraId="7E46A9CB" w14:textId="0888801F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–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utilizate pentru realizarea ac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iunilor în masă din cadrul proiectelor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programelor finan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ate de la bugetul public na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ional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iile folosite de </w:t>
            </w:r>
            <w:r w:rsidR="00E5515A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atelierele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 crea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ie, organiza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ob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ti ale persoanelor cu dizabilită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 întreprinderile lor, precum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iile din clădirea Parlamentului utilizate de unitatea de alimenta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ie publică cu preparare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comercializare a bucatelor, pentru care coeficientul de pia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ă se stabile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te în mărime de 0,1.</w:t>
            </w:r>
          </w:p>
          <w:p w14:paraId="77ECBC31" w14:textId="3CD4E066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La stabilirea acestui coeficient trebuie să se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ină cont de cererea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oferta spa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iilor ce ar putea fi date în</w:t>
            </w:r>
            <w:r w:rsidR="00647544"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chirie, de posibilitatea utilizării terenului aferent, de caracteristicile teritorial-economice ale zonei 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 de alte criterii calitative, necuprinse în coeficien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ii aplica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i, ale încăperilor/suprafe</w:t>
            </w:r>
            <w:r w:rsidR="00040F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ț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elor amenajate.</w:t>
            </w:r>
          </w:p>
        </w:tc>
      </w:tr>
    </w:tbl>
    <w:p w14:paraId="121FF337" w14:textId="2E113BB3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În cazul în care se dau în loca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 mai multe încăperi cu diferite condi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ii de amplasare 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de amenajare tehnică sau încăperi care vor fi utilizate în diverse scopuri, cuantumul total al chiriei se constituie din suma chiriilor calculate pentru fiecare încăpere sau grup de încăperi.</w:t>
      </w:r>
    </w:p>
    <w:p w14:paraId="4ED47A4C" w14:textId="77777777" w:rsidR="00A04647" w:rsidRPr="00856E34" w:rsidRDefault="00A0464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o-RO" w:eastAsia="ru-RU"/>
        </w:rPr>
      </w:pPr>
    </w:p>
    <w:p w14:paraId="2E9D53EA" w14:textId="20360C41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7028B1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Notă.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sensul prezentei legi, </w:t>
      </w:r>
      <w:r w:rsidR="0002160B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prin 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suprafa</w:t>
      </w:r>
      <w:r w:rsidR="00040FBD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ă amenajată </w:t>
      </w:r>
      <w:r w:rsidR="0002160B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se înțelege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suprafa</w:t>
      </w:r>
      <w:r w:rsidR="00040FBD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 terenului amenajată (asfaltată</w:t>
      </w:r>
      <w:r w:rsidR="007F2939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pavată etc.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), </w:t>
      </w:r>
      <w:r w:rsidR="007F2939"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inclusiv aferentă clădirii, </w:t>
      </w:r>
      <w:r w:rsidRPr="007028B1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care poate fi dată în chirie.</w:t>
      </w:r>
    </w:p>
    <w:p w14:paraId="567DEDD3" w14:textId="216D10D7" w:rsidR="00A04647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 </w:t>
      </w:r>
    </w:p>
    <w:p w14:paraId="44440D55" w14:textId="68B6B951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2.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3A2408" w:rsidRPr="003A240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Cuantumul chiriei anuale pentru utilaje</w:t>
      </w:r>
      <w:r w:rsidR="003A2408" w:rsidRPr="009B23B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mijloace de transport</w:t>
      </w:r>
      <w:r w:rsidR="00382F4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3A2408" w:rsidRPr="009B23B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și pentru alte mijloace fixe</w:t>
      </w:r>
      <w:r w:rsidR="003A2408" w:rsidRPr="003A240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(denumite în continuare utilaj) date în locațiune/arendă se calculează după formula:</w:t>
      </w:r>
    </w:p>
    <w:p w14:paraId="01C05591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4A9F4D6E" w14:textId="77777777" w:rsidR="00F2647D" w:rsidRPr="00F940E3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P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au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 xml:space="preserve"> = U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a</w:t>
      </w:r>
      <w:r w:rsidRPr="00F940E3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 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1</w:t>
      </w:r>
      <w:r w:rsidRPr="00F940E3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 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2</w:t>
      </w:r>
      <w:r w:rsidRPr="00F940E3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 xml:space="preserve"> + Q </w:t>
      </w:r>
      <w:r w:rsidRPr="00F940E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o-RO" w:eastAsia="ru-RU"/>
        </w:rPr>
        <w:t>,</w:t>
      </w:r>
    </w:p>
    <w:p w14:paraId="5C6A3FD1" w14:textId="77777777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 care:</w:t>
      </w:r>
    </w:p>
    <w:p w14:paraId="731F1103" w14:textId="5BF30F74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P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au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cuantumul chiriei anuale pentru utilajul dat în loca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</w:t>
      </w:r>
      <w:r w:rsidR="00C5285E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/arendă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;</w:t>
      </w:r>
    </w:p>
    <w:p w14:paraId="09DC8300" w14:textId="31D8C603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U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a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r w:rsidR="00FD30B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mărimea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amortiz</w:t>
      </w:r>
      <w:r w:rsidR="00FD30B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ării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/uzur</w:t>
      </w:r>
      <w:r w:rsidR="00FD30B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anual</w:t>
      </w:r>
      <w:r w:rsidR="00FD30B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utilajului dat în loca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</w:t>
      </w:r>
      <w:r w:rsidR="0091794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/arendă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;</w:t>
      </w:r>
    </w:p>
    <w:p w14:paraId="6B9A417B" w14:textId="77777777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1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calcul;</w:t>
      </w:r>
    </w:p>
    <w:p w14:paraId="17CF0B84" w14:textId="34483326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2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pia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ă;</w:t>
      </w:r>
    </w:p>
    <w:p w14:paraId="7CF975EE" w14:textId="309E0851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Q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mărimea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cheltuielil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între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inere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de exploatare a utilajului dat în loca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</w:t>
      </w:r>
      <w:r w:rsidR="0091794F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/arendă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suportate de locator</w:t>
      </w:r>
      <w:r w:rsidR="00551503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/arendator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14:paraId="092E2765" w14:textId="77777777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4AAA11F3" w14:textId="0F6344DD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Valoarea coeficien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ilor folosi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în calcule se determină după următoarele criterii:</w:t>
      </w:r>
    </w:p>
    <w:p w14:paraId="4FF34061" w14:textId="3D1FAA4A" w:rsid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a) 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mărimea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amortiz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ării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/uzur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anual</w:t>
      </w:r>
      <w:r w:rsidR="00DB22C2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utilajului (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U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a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) se calculează pentru fiecare obiect de eviden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ă potrivit Catalogului mijloacelor fixe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activelor nemateriale, aprobat prin Hotăr</w:t>
      </w:r>
      <w:r w:rsidR="007A3D50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â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rea Guvernului nr.</w:t>
      </w:r>
      <w:r w:rsidR="00C5285E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338/2003, conform tabelului nr.</w:t>
      </w:r>
      <w:r w:rsidR="00C5285E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1:</w:t>
      </w:r>
    </w:p>
    <w:p w14:paraId="7DA4BAC9" w14:textId="77777777" w:rsidR="00856E34" w:rsidRPr="00856E34" w:rsidRDefault="00856E34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W w:w="5152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714"/>
        <w:gridCol w:w="855"/>
        <w:gridCol w:w="1005"/>
        <w:gridCol w:w="1005"/>
        <w:gridCol w:w="1005"/>
        <w:gridCol w:w="855"/>
        <w:gridCol w:w="859"/>
        <w:gridCol w:w="859"/>
        <w:gridCol w:w="861"/>
        <w:gridCol w:w="1001"/>
      </w:tblGrid>
      <w:tr w:rsidR="00F2647D" w:rsidRPr="003020E8" w14:paraId="539592BF" w14:textId="77777777" w:rsidTr="00171CE8">
        <w:trPr>
          <w:jc w:val="center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9A006EE" w14:textId="131FE962" w:rsidR="00F2647D" w:rsidRPr="003020E8" w:rsidRDefault="00F2647D" w:rsidP="00856E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020E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Tabelul nr.</w:t>
            </w:r>
            <w:r w:rsidR="00922630" w:rsidRPr="003020E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3020E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  <w:p w14:paraId="0B36E255" w14:textId="77777777" w:rsidR="00F2647D" w:rsidRPr="003020E8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3020E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171CE8" w:rsidRPr="00AE739A" w14:paraId="06155195" w14:textId="77777777" w:rsidTr="006B264D">
        <w:trPr>
          <w:jc w:val="center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C2B883F" w14:textId="77777777" w:rsidR="00F2647D" w:rsidRPr="00AE739A" w:rsidRDefault="00F2647D" w:rsidP="00AE739A">
            <w:pPr>
              <w:spacing w:after="0" w:line="240" w:lineRule="auto"/>
              <w:ind w:left="90" w:right="-215" w:hanging="90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Nr. crt.</w:t>
            </w: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D16B114" w14:textId="156DA8EC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Denu</w:t>
            </w:r>
            <w:r w:rsidR="00171CE8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mirea utilaju</w:t>
            </w:r>
            <w:r w:rsidR="00171CE8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lui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A941E17" w14:textId="432A8206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Nr. de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inventar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F531951" w14:textId="3996072E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Durata de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utilizare/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durata de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func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iona-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re utilă,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 ani.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Distan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a,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km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1FF24C5" w14:textId="0FC976CF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Costul de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intrare/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valoarea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ini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ială sau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valoarea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reevaluată,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 lei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4328C96" w14:textId="666E6A47" w:rsidR="00F2647D" w:rsidRPr="00AE739A" w:rsidRDefault="00FD443B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Mărimea a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morti-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z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ării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/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uzur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ii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la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data dării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 loca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iune,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 lei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D7D837E" w14:textId="21C4FBB8" w:rsidR="00171CE8" w:rsidRPr="00AE739A" w:rsidRDefault="00FD443B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Mărimea amorti-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zării/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uzurii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anual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e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br/>
              <w:t>(Ua)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,</w:t>
            </w:r>
          </w:p>
          <w:p w14:paraId="724802FF" w14:textId="1CF9771F" w:rsidR="00F2647D" w:rsidRPr="00AE739A" w:rsidRDefault="006B264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î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n</w:t>
            </w:r>
            <w:r w:rsidR="00171CE8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lei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FA7ECCB" w14:textId="77777777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Coefi-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 xml:space="preserve">cientul de calcul 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(K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ro-RO" w:eastAsia="ru-RU"/>
              </w:rPr>
              <w:t>1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)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83400D5" w14:textId="504721E6" w:rsidR="00F2647D" w:rsidRPr="00AE739A" w:rsidRDefault="00F2647D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Coefi-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cientul de pia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ă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(K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ro-RO" w:eastAsia="ru-RU"/>
              </w:rPr>
              <w:t>2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)</w:t>
            </w:r>
          </w:p>
        </w:tc>
        <w:tc>
          <w:tcPr>
            <w:tcW w:w="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E10EA74" w14:textId="79167EFC" w:rsidR="00F2647D" w:rsidRPr="00AE739A" w:rsidRDefault="00D92C53" w:rsidP="00C43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Mărimea c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heltuie</w:t>
            </w:r>
            <w:r w:rsidR="00171CE8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-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lil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or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de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între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inere </w:t>
            </w:r>
            <w:r w:rsidR="00040FB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ș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</w:t>
            </w:r>
            <w:r w:rsidR="006B264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de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exploatare (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Q)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,</w:t>
            </w:r>
            <w:r w:rsidR="00F2647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în lei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31B87CC" w14:textId="295B995C" w:rsidR="00171CE8" w:rsidRPr="00AE739A" w:rsidRDefault="00F2647D" w:rsidP="00C4363C">
            <w:pPr>
              <w:spacing w:after="0" w:line="240" w:lineRule="auto"/>
              <w:ind w:right="233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Cuantu</w:t>
            </w:r>
            <w:r w:rsidR="006B264D"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-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mul chiriei anuale 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(P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ro-RO" w:eastAsia="ru-RU"/>
              </w:rPr>
              <w:t>au</w:t>
            </w: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),</w:t>
            </w:r>
          </w:p>
          <w:p w14:paraId="69FF66BD" w14:textId="64051C4C" w:rsidR="00F2647D" w:rsidRPr="00AE739A" w:rsidRDefault="00F2647D" w:rsidP="00C4363C">
            <w:pPr>
              <w:spacing w:after="0" w:line="240" w:lineRule="auto"/>
              <w:ind w:right="23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în lei</w:t>
            </w:r>
          </w:p>
        </w:tc>
      </w:tr>
      <w:tr w:rsidR="00171CE8" w:rsidRPr="00AE739A" w14:paraId="3997ADB2" w14:textId="77777777" w:rsidTr="006B264D">
        <w:trPr>
          <w:jc w:val="center"/>
        </w:trPr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AE76A56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AE761B3" w14:textId="77777777" w:rsidR="00F2647D" w:rsidRPr="00AE739A" w:rsidRDefault="00F2647D" w:rsidP="00171CE8">
            <w:pPr>
              <w:spacing w:after="0" w:line="240" w:lineRule="auto"/>
              <w:ind w:hanging="5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99BDEA1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BB88EB9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2480694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0313E86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6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C385D96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7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96B4B91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8</w:t>
            </w:r>
          </w:p>
        </w:tc>
        <w:tc>
          <w:tcPr>
            <w:tcW w:w="4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43EB625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9</w:t>
            </w:r>
          </w:p>
        </w:tc>
        <w:tc>
          <w:tcPr>
            <w:tcW w:w="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4DE7352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5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4FAEE60" w14:textId="77777777" w:rsidR="00F2647D" w:rsidRPr="00AE739A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AE739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11</w:t>
            </w:r>
          </w:p>
        </w:tc>
      </w:tr>
    </w:tbl>
    <w:p w14:paraId="0AEF50D2" w14:textId="77777777" w:rsidR="00F2647D" w:rsidRPr="00AE739A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val="ro-RO" w:eastAsia="ru-RU"/>
        </w:rPr>
      </w:pPr>
      <w:r w:rsidRPr="00AE739A">
        <w:rPr>
          <w:rFonts w:ascii="Times New Roman" w:eastAsia="Times New Roman" w:hAnsi="Times New Roman" w:cs="Times New Roman"/>
          <w:sz w:val="20"/>
          <w:szCs w:val="20"/>
          <w:lang w:val="ro-RO" w:eastAsia="ru-RU"/>
        </w:rPr>
        <w:t> </w:t>
      </w:r>
    </w:p>
    <w:p w14:paraId="19FC42E3" w14:textId="14DE6548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b) coeficientul de calcul (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1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) se stabil</w:t>
      </w:r>
      <w:r w:rsidR="00D92C53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ește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func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ie de </w:t>
      </w:r>
      <w:r w:rsidR="006A4FAB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mărimea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amortiz</w:t>
      </w:r>
      <w:r w:rsidR="006A4FAB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ării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/uzur</w:t>
      </w:r>
      <w:r w:rsidR="006A4FAB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la data dării în loca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</w:t>
      </w:r>
      <w:r w:rsidR="00551503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/arendă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utilajului (tabelul nr.</w:t>
      </w:r>
      <w:r w:rsidR="00C5285E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2).</w:t>
      </w:r>
    </w:p>
    <w:p w14:paraId="7D9EB396" w14:textId="66BD7C7A" w:rsidR="00F2647D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 </w:t>
      </w:r>
    </w:p>
    <w:p w14:paraId="0E5D514E" w14:textId="03BC6016" w:rsidR="00471B67" w:rsidRDefault="00471B6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6CBEE2B0" w14:textId="720B6AB4" w:rsidR="00471B67" w:rsidRDefault="00471B6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3B096377" w14:textId="7239B19B" w:rsidR="00471B67" w:rsidRDefault="00471B6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14:paraId="2A5F7E4C" w14:textId="77777777" w:rsidR="00471B67" w:rsidRPr="00F940E3" w:rsidRDefault="00471B6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tbl>
      <w:tblPr>
        <w:tblW w:w="5228" w:type="pct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646"/>
        <w:gridCol w:w="715"/>
        <w:gridCol w:w="717"/>
        <w:gridCol w:w="858"/>
        <w:gridCol w:w="717"/>
        <w:gridCol w:w="862"/>
        <w:gridCol w:w="860"/>
        <w:gridCol w:w="860"/>
        <w:gridCol w:w="860"/>
        <w:gridCol w:w="868"/>
        <w:gridCol w:w="846"/>
      </w:tblGrid>
      <w:tr w:rsidR="00F2647D" w:rsidRPr="00856E34" w14:paraId="037CE1C6" w14:textId="77777777" w:rsidTr="00A3436B">
        <w:trPr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C5C7961" w14:textId="1543AAF0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F940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Tabelul nr.</w:t>
            </w:r>
            <w:r w:rsidR="00171CE8" w:rsidRPr="00F940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F940E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  <w:p w14:paraId="12A949B2" w14:textId="77777777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A3436B" w:rsidRPr="00171CE8" w14:paraId="3D90D9E7" w14:textId="77777777" w:rsidTr="00094806">
        <w:trPr>
          <w:jc w:val="center"/>
        </w:trPr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8EE0D91" w14:textId="77777777" w:rsidR="00F2647D" w:rsidRPr="00471B67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Mărimea de amortizare/de uzură </w:t>
            </w:r>
            <w:r w:rsidRPr="00471B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ro-RO" w:eastAsia="ru-RU"/>
              </w:rPr>
              <w:t>U</w:t>
            </w:r>
            <w:r w:rsidRPr="00471B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vertAlign w:val="subscript"/>
                <w:lang w:val="ro-RO" w:eastAsia="ru-RU"/>
              </w:rPr>
              <w:t>a</w:t>
            </w: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(%)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F8B6D10" w14:textId="2111809E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2E3BC2D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5B7017C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20</w:t>
            </w:r>
          </w:p>
        </w:tc>
        <w:tc>
          <w:tcPr>
            <w:tcW w:w="4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8C0C4B1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30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646A18E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40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EB083C0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50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4BB3B4F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60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DDF2861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70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51CF38B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80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2B80153" w14:textId="77777777" w:rsidR="00F2647D" w:rsidRPr="00471B67" w:rsidRDefault="00F2647D" w:rsidP="00170DA6">
            <w:pPr>
              <w:spacing w:after="100" w:afterAutospacing="1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90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817A138" w14:textId="77777777" w:rsidR="00F2647D" w:rsidRPr="00471B67" w:rsidRDefault="00F2647D" w:rsidP="00170DA6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100</w:t>
            </w:r>
          </w:p>
        </w:tc>
      </w:tr>
      <w:tr w:rsidR="00A3436B" w:rsidRPr="00171CE8" w14:paraId="79932217" w14:textId="77777777" w:rsidTr="00A3436B">
        <w:trPr>
          <w:jc w:val="center"/>
        </w:trPr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90456CB" w14:textId="77777777" w:rsidR="00F2647D" w:rsidRPr="00471B67" w:rsidRDefault="00F2647D" w:rsidP="00171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ro-RO" w:eastAsia="ru-RU"/>
              </w:rPr>
              <w:t>K</w:t>
            </w:r>
            <w:r w:rsidRPr="00471B6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bscript"/>
                <w:lang w:val="ro-RO" w:eastAsia="ru-RU"/>
              </w:rPr>
              <w:t>1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682AED2" w14:textId="77777777" w:rsidR="00F2647D" w:rsidRPr="00471B67" w:rsidRDefault="00F2647D" w:rsidP="00171CE8">
            <w:pPr>
              <w:spacing w:after="0" w:line="240" w:lineRule="auto"/>
              <w:ind w:right="-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1,88</w:t>
            </w:r>
          </w:p>
        </w:tc>
        <w:tc>
          <w:tcPr>
            <w:tcW w:w="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E79788B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1,79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5124690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1,71</w:t>
            </w:r>
          </w:p>
        </w:tc>
        <w:tc>
          <w:tcPr>
            <w:tcW w:w="4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929C287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1,62</w:t>
            </w:r>
          </w:p>
        </w:tc>
        <w:tc>
          <w:tcPr>
            <w:tcW w:w="3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2188211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1,53</w:t>
            </w:r>
          </w:p>
        </w:tc>
        <w:tc>
          <w:tcPr>
            <w:tcW w:w="4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142BBE3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1,44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82EDB04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1,35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8950358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1,27</w:t>
            </w:r>
          </w:p>
        </w:tc>
        <w:tc>
          <w:tcPr>
            <w:tcW w:w="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27AE071C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1,18</w:t>
            </w:r>
          </w:p>
        </w:tc>
        <w:tc>
          <w:tcPr>
            <w:tcW w:w="4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A53833B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1,09</w:t>
            </w:r>
          </w:p>
        </w:tc>
        <w:tc>
          <w:tcPr>
            <w:tcW w:w="4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0DE41E7" w14:textId="77777777" w:rsidR="00F2647D" w:rsidRPr="00471B67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471B67"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  <w:t>1,0</w:t>
            </w:r>
          </w:p>
        </w:tc>
      </w:tr>
    </w:tbl>
    <w:p w14:paraId="21E47973" w14:textId="77777777" w:rsidR="006A0B5C" w:rsidRDefault="006A0B5C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456B3BB" w14:textId="081B7386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BA400C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c)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coeficientul de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pia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(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2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) se stabile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 prin</w:t>
      </w:r>
      <w:r w:rsidR="006A1819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tr-o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elegere a păr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ilor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 nu poate fi mai mic de 1,0. La stabilirea acestui coeficient se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ine cont de cerere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de ofertă, de venitul neob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inut, de diferen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 dintre valoarea contabilă/valoarea de bilan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pre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ul de pia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la utilajul de acela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 tip sau cu caracteristici comparabile, precum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de al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factori</w:t>
      </w:r>
      <w:r w:rsidR="004370EA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relevanți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 Excep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ie fac autorită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ile/institu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iile bugetare la darea în loca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</w:t>
      </w:r>
      <w:r w:rsidR="00551503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/arendă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utilajului altor autorită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i/institu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 bugetare, pentru care coeficientul de pia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se stabile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te în mărime de 1,0, precum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unitatea de alimenta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ie publică cu preparare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comercializare a bucatelor în spa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iile din clădirea Parlamentului, pentru care coeficientul de pia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se stabile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 în mărime de 0,2.</w:t>
      </w:r>
    </w:p>
    <w:p w14:paraId="1D39F77C" w14:textId="71808C41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 cazul în care mărimea cheltuielilor de între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inere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exploatare a utilajului (</w:t>
      </w:r>
      <w:r w:rsidRPr="00F940E3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Q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) variază, aceasta se recalculează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se achită suplimentar.</w:t>
      </w:r>
    </w:p>
    <w:p w14:paraId="4AEBFE0B" w14:textId="77777777" w:rsidR="00A04647" w:rsidRPr="00856E34" w:rsidRDefault="00A04647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53D80EC3" w14:textId="3819A56C" w:rsidR="00F2647D" w:rsidRPr="00A341CC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3.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A341CC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Cuantumul chiriei anuale pentru folosirea activelor circulante se calculează după formula:</w:t>
      </w:r>
    </w:p>
    <w:p w14:paraId="22BB29F4" w14:textId="77777777" w:rsidR="00F2647D" w:rsidRPr="00A341CC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A341CC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01454AB0" w14:textId="77777777" w:rsidR="00F2647D" w:rsidRPr="00A341CC" w:rsidRDefault="00F2647D" w:rsidP="00856E3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</w:pPr>
      <w:r w:rsidRPr="00A341C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P</w:t>
      </w:r>
      <w:r w:rsidRPr="00A341CC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  <w:lang w:val="ro-RO" w:eastAsia="ru-RU"/>
        </w:rPr>
        <w:t>ac</w:t>
      </w:r>
      <w:r w:rsidRPr="00A341C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= </w:t>
      </w:r>
      <w:r w:rsidRPr="00A341C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C</w:t>
      </w:r>
      <w:r w:rsidRPr="00A341C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 </w:t>
      </w:r>
      <w:r w:rsidRPr="00A341C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R</w:t>
      </w:r>
      <w:r w:rsidRPr="00A341C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× </w:t>
      </w:r>
      <w:r w:rsidRPr="00A341CC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 w:eastAsia="ru-RU"/>
        </w:rPr>
        <w:t>K</w:t>
      </w:r>
      <w:r w:rsidRPr="00A341CC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 </w:t>
      </w:r>
      <w:r w:rsidRPr="00A341CC"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  <w:t>,</w:t>
      </w:r>
    </w:p>
    <w:p w14:paraId="5A4EFBA2" w14:textId="77777777" w:rsidR="00F2647D" w:rsidRPr="00A341CC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A341CC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 care:</w:t>
      </w:r>
    </w:p>
    <w:p w14:paraId="23184A73" w14:textId="77777777" w:rsidR="00F2647D" w:rsidRPr="00A341CC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A341CC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P</w:t>
      </w:r>
      <w:r w:rsidRPr="00A341C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o-RO" w:eastAsia="ru-RU"/>
        </w:rPr>
        <w:t>ac</w:t>
      </w:r>
      <w:r w:rsidRPr="00A341CC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 xml:space="preserve"> –</w:t>
      </w:r>
      <w:r w:rsidRPr="00A341CC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cuantumul chiriei anuale pentru folosirea activelor circulante;</w:t>
      </w:r>
    </w:p>
    <w:p w14:paraId="75ECDF7D" w14:textId="3D3A6202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C –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valoarea contabilă/valoarea de bilan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activelor circulante la data calculării chiriei;</w:t>
      </w:r>
    </w:p>
    <w:p w14:paraId="1B46A3B7" w14:textId="07C09839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R –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rata de bază aplicată de Banca Na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ională a Moldovei la principalele opera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iuni de politică monetară pe termen scurt;</w:t>
      </w:r>
    </w:p>
    <w:p w14:paraId="00036D24" w14:textId="4937C62F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  <w:t>K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– coeficientul de pia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ă.</w:t>
      </w:r>
    </w:p>
    <w:p w14:paraId="1E7EA066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7ADC23DF" w14:textId="27EC2CD1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Valoarea coeficien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ilor folosi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în calcule se determină după următoarele criterii:</w:t>
      </w:r>
    </w:p>
    <w:p w14:paraId="022E37CB" w14:textId="7927E671" w:rsidR="00A3436B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a) valoarea contabilă/valoarea de bilan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activelor circulante se calculează pentru fiecare obiect de eviden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conform tabelului nr.</w:t>
      </w:r>
      <w:r w:rsidR="00670F88"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3:</w:t>
      </w:r>
    </w:p>
    <w:p w14:paraId="78363D30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tbl>
      <w:tblPr>
        <w:tblW w:w="5077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647"/>
        <w:gridCol w:w="1286"/>
        <w:gridCol w:w="1572"/>
        <w:gridCol w:w="1860"/>
        <w:gridCol w:w="1430"/>
        <w:gridCol w:w="1006"/>
      </w:tblGrid>
      <w:tr w:rsidR="00F2647D" w:rsidRPr="00856E34" w14:paraId="6F8F4B5D" w14:textId="77777777" w:rsidTr="00A3436B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3D65EC3" w14:textId="462140B0" w:rsidR="00F2647D" w:rsidRPr="00856E34" w:rsidRDefault="00F2647D" w:rsidP="00856E34">
            <w:pPr>
              <w:spacing w:after="0" w:line="240" w:lineRule="auto"/>
              <w:ind w:firstLine="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Tabelul nr.</w:t>
            </w:r>
            <w:r w:rsidR="00A3436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  <w:p w14:paraId="61FE3049" w14:textId="77777777" w:rsidR="00F2647D" w:rsidRPr="00856E34" w:rsidRDefault="00F2647D" w:rsidP="00856E34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6E3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 </w:t>
            </w:r>
          </w:p>
        </w:tc>
      </w:tr>
      <w:tr w:rsidR="00A3436B" w:rsidRPr="00856E34" w14:paraId="73CC9C8B" w14:textId="77777777" w:rsidTr="00094806">
        <w:trPr>
          <w:jc w:val="center"/>
        </w:trPr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74B2FBC" w14:textId="77777777" w:rsidR="00F2647D" w:rsidRPr="00552A19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Nr.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crt.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A73305D" w14:textId="77777777" w:rsidR="00F2647D" w:rsidRPr="00552A19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Denumirea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activelor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br/>
              <w:t>circulante</w:t>
            </w:r>
          </w:p>
        </w:tc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40133D4C" w14:textId="77777777" w:rsidR="00F2647D" w:rsidRPr="00552A19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Cantitatea</w:t>
            </w:r>
          </w:p>
        </w:tc>
        <w:tc>
          <w:tcPr>
            <w:tcW w:w="8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D235A76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Unitatea de măsură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10523025" w14:textId="208C1EFD" w:rsidR="00F2647D" w:rsidRPr="00552A19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Valoarea contabilă/ valoarea de bilan</w:t>
            </w:r>
            <w:r w:rsidR="00040FBD"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a unei unită</w:t>
            </w:r>
            <w:r w:rsidR="00040FBD"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i la data calculării chiriei, în lei</w:t>
            </w: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3C0DB5A9" w14:textId="64E19D03" w:rsidR="00F2647D" w:rsidRPr="00552A19" w:rsidRDefault="00F2647D" w:rsidP="0085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Valoarea contabilă/ valoarea de bilan</w:t>
            </w:r>
            <w:r w:rsidR="00040FBD"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ț</w:t>
            </w: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 xml:space="preserve"> totală la data calculării chiriei, în lei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4FEF367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Note</w:t>
            </w:r>
          </w:p>
        </w:tc>
      </w:tr>
      <w:tr w:rsidR="00A3436B" w:rsidRPr="00856E34" w14:paraId="68C13E57" w14:textId="77777777" w:rsidTr="00A3436B">
        <w:trPr>
          <w:jc w:val="center"/>
        </w:trPr>
        <w:tc>
          <w:tcPr>
            <w:tcW w:w="4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B9E7084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584F40B5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37247E7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8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23D5532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05F9FE6A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62A1D22B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6</w:t>
            </w:r>
          </w:p>
        </w:tc>
        <w:tc>
          <w:tcPr>
            <w:tcW w:w="5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14:paraId="7508AC27" w14:textId="77777777" w:rsidR="00F2647D" w:rsidRPr="00552A19" w:rsidRDefault="00F2647D" w:rsidP="00A3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</w:pPr>
            <w:r w:rsidRPr="00552A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o-RO" w:eastAsia="ru-RU"/>
              </w:rPr>
              <w:t>7</w:t>
            </w:r>
          </w:p>
        </w:tc>
      </w:tr>
    </w:tbl>
    <w:p w14:paraId="58817847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79F0327A" w14:textId="492336FD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b) rata de bază aplicată de Banca Na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ională a Moldovei la principalele opera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iuni de politică monetară pe termen scurt se publică periodic în presă. În calcule se folose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 valoarea ratei în vigoare la data încheierii contractului de loca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iune;</w:t>
      </w:r>
    </w:p>
    <w:p w14:paraId="7911630C" w14:textId="7C7533CD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> c) coeficientul de pia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se stabile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 prin</w:t>
      </w:r>
      <w:r w:rsidR="00AC4F0B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tr-o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elegere</w:t>
      </w:r>
      <w:r w:rsidR="00AC4F0B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 păr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ilor 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nu poate fi mai mic de 1,0.</w:t>
      </w:r>
    </w:p>
    <w:p w14:paraId="2F3B7063" w14:textId="77777777" w:rsidR="00C17DAC" w:rsidRDefault="00C17DAC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7EB2F5F" w14:textId="77777777" w:rsidR="00C17DAC" w:rsidRDefault="00C17DAC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B11B5B4" w14:textId="16536234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După încetarea efectului contractului de loca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iune, locatarul restituie activele circulante în volumele fixate la data dării lor în loca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iune. În cazul imposibilită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 de restituire a activelor circulante, costul lor se recuperează la pre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urile de pia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care s</w:t>
      </w:r>
      <w:r w:rsidR="007A3D50"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u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nt în vigoare la data încetării efectului contractului de loca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iune.</w:t>
      </w:r>
    </w:p>
    <w:p w14:paraId="287CD900" w14:textId="56E134C6" w:rsidR="00A04647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4BBBA2E8" w14:textId="23C75AB9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4.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Cuantumul minim al chiriei bunurilor proprietate publică se stabile</w:t>
      </w:r>
      <w:r w:rsidR="00040FB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te fără tax</w:t>
      </w:r>
      <w:r w:rsidR="0095578D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 valoarea adăugată.</w:t>
      </w:r>
    </w:p>
    <w:p w14:paraId="65E0E466" w14:textId="77CEDC2E" w:rsidR="00F2647D" w:rsidRPr="00F940E3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Dacă locatorul este înregistrat ca </w:t>
      </w:r>
      <w:r w:rsidR="006A4FAB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contribuabil al taxei</w:t>
      </w:r>
      <w:r w:rsidR="0002160B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pe valoarea adăugată, chiria </w:t>
      </w:r>
      <w:r w:rsidR="00B1022A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se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încas</w:t>
      </w:r>
      <w:r w:rsidR="00B1022A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eaz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 de la locatar cu aplicarea taxei pe valoarea adăugată, calculată suplimentar la valoarea serviciilor prestate.</w:t>
      </w:r>
    </w:p>
    <w:p w14:paraId="69B56C5B" w14:textId="77777777" w:rsidR="00A20414" w:rsidRPr="00F940E3" w:rsidRDefault="00A20414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</w:pPr>
    </w:p>
    <w:p w14:paraId="7FA7165C" w14:textId="2429913C" w:rsidR="00F2647D" w:rsidRPr="006B264D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F940E3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Notă.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Prevederile prezentei anexe nu se aplică raporturilor juridice reglementate de Legea nr.</w:t>
      </w:r>
      <w:r w:rsidR="006B264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28/2016 privind accesul pe proprietă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 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ș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 utilizarea partajată a infrastructurii asociate re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elelor publice de comunica</w:t>
      </w:r>
      <w:r w:rsidR="00040FBD"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ț</w:t>
      </w:r>
      <w:r w:rsidRPr="00F940E3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 electronice.</w:t>
      </w:r>
    </w:p>
    <w:p w14:paraId="4811CA8C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14:paraId="6D9431E7" w14:textId="77777777" w:rsidR="00F2647D" w:rsidRPr="00856E34" w:rsidRDefault="00F2647D" w:rsidP="00856E3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6E34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sectPr w:rsidR="00F2647D" w:rsidRPr="00856E34" w:rsidSect="007B740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E53A0" w14:textId="77777777" w:rsidR="00EA6ACE" w:rsidRDefault="00EA6ACE" w:rsidP="00856E34">
      <w:pPr>
        <w:spacing w:after="0" w:line="240" w:lineRule="auto"/>
      </w:pPr>
      <w:r>
        <w:separator/>
      </w:r>
    </w:p>
  </w:endnote>
  <w:endnote w:type="continuationSeparator" w:id="0">
    <w:p w14:paraId="5616F608" w14:textId="77777777" w:rsidR="00EA6ACE" w:rsidRDefault="00EA6ACE" w:rsidP="0085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78199" w14:textId="27E8485A" w:rsidR="00A71B4C" w:rsidRDefault="00A71B4C">
    <w:pPr>
      <w:pStyle w:val="Footer"/>
      <w:jc w:val="right"/>
    </w:pPr>
  </w:p>
  <w:p w14:paraId="67D1DBC9" w14:textId="77777777" w:rsidR="00A71B4C" w:rsidRDefault="00A71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439E" w14:textId="6855CA79" w:rsidR="00A71B4C" w:rsidRDefault="00A71B4C">
    <w:pPr>
      <w:pStyle w:val="Footer"/>
      <w:jc w:val="right"/>
    </w:pPr>
  </w:p>
  <w:p w14:paraId="023C9AA4" w14:textId="77777777" w:rsidR="00A71B4C" w:rsidRDefault="00A7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AB0C9" w14:textId="77777777" w:rsidR="00EA6ACE" w:rsidRDefault="00EA6ACE" w:rsidP="00856E34">
      <w:pPr>
        <w:spacing w:after="0" w:line="240" w:lineRule="auto"/>
      </w:pPr>
      <w:r>
        <w:separator/>
      </w:r>
    </w:p>
  </w:footnote>
  <w:footnote w:type="continuationSeparator" w:id="0">
    <w:p w14:paraId="5A5E9E86" w14:textId="77777777" w:rsidR="00EA6ACE" w:rsidRDefault="00EA6ACE" w:rsidP="0085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42587649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BD0FA80" w14:textId="6AE9199C" w:rsidR="00A71B4C" w:rsidRPr="00955E3B" w:rsidRDefault="00A71B4C" w:rsidP="007B7407">
        <w:pPr>
          <w:pStyle w:val="Header"/>
          <w:jc w:val="both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955E3B">
          <w:rPr>
            <w:color w:val="FFFFFF" w:themeColor="background1"/>
          </w:rPr>
          <w:t xml:space="preserve">                                                                                 </w:t>
        </w:r>
        <w:r w:rsidRPr="00955E3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955E3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 xml:space="preserve"> PAGE   \* MERGEFORMAT </w:instrText>
        </w:r>
        <w:r w:rsidRPr="00955E3B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6277E6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955E3B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fldChar w:fldCharType="end"/>
        </w:r>
      </w:p>
    </w:sdtContent>
  </w:sdt>
  <w:p w14:paraId="7DB92AEE" w14:textId="10309F08" w:rsidR="00A71B4C" w:rsidRPr="00955E3B" w:rsidRDefault="002D3789" w:rsidP="002D3789">
    <w:pPr>
      <w:pStyle w:val="Header"/>
      <w:jc w:val="right"/>
      <w:rPr>
        <w:color w:val="FFFFFF" w:themeColor="background1"/>
      </w:rPr>
    </w:pPr>
    <w:r w:rsidRPr="00955E3B">
      <w:rPr>
        <w:rFonts w:ascii="Times New Roman" w:eastAsia="Times New Roman" w:hAnsi="Times New Roman" w:cs="Times New Roman"/>
        <w:color w:val="FFFFFF" w:themeColor="background1"/>
        <w:sz w:val="28"/>
        <w:szCs w:val="28"/>
        <w:lang w:val="ro-RO" w:eastAsia="ru-RU"/>
      </w:rPr>
      <w:t>Anexa nr. 9 (continuare)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0559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86D454" w14:textId="6EAA96F7" w:rsidR="00A71B4C" w:rsidRDefault="00EA6ACE">
        <w:pPr>
          <w:pStyle w:val="Header"/>
          <w:jc w:val="center"/>
        </w:pPr>
      </w:p>
    </w:sdtContent>
  </w:sdt>
  <w:p w14:paraId="242A804A" w14:textId="77777777" w:rsidR="00A71B4C" w:rsidRDefault="00A71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48"/>
    <w:rsid w:val="0002160B"/>
    <w:rsid w:val="00040FBD"/>
    <w:rsid w:val="00094806"/>
    <w:rsid w:val="000A2DAF"/>
    <w:rsid w:val="000D1C6E"/>
    <w:rsid w:val="000D271C"/>
    <w:rsid w:val="000D63F8"/>
    <w:rsid w:val="000D6689"/>
    <w:rsid w:val="000D7E5C"/>
    <w:rsid w:val="0010646A"/>
    <w:rsid w:val="00121417"/>
    <w:rsid w:val="00170DA6"/>
    <w:rsid w:val="00171CE8"/>
    <w:rsid w:val="00184181"/>
    <w:rsid w:val="001A4426"/>
    <w:rsid w:val="001B202A"/>
    <w:rsid w:val="001C4ADC"/>
    <w:rsid w:val="001C4C25"/>
    <w:rsid w:val="001D1D93"/>
    <w:rsid w:val="001E777A"/>
    <w:rsid w:val="001F3919"/>
    <w:rsid w:val="00212B38"/>
    <w:rsid w:val="00233119"/>
    <w:rsid w:val="00245297"/>
    <w:rsid w:val="002552D6"/>
    <w:rsid w:val="00257C40"/>
    <w:rsid w:val="002911E3"/>
    <w:rsid w:val="002A309C"/>
    <w:rsid w:val="002B06EB"/>
    <w:rsid w:val="002C13E6"/>
    <w:rsid w:val="002D3789"/>
    <w:rsid w:val="002D631A"/>
    <w:rsid w:val="002D6952"/>
    <w:rsid w:val="002E2F97"/>
    <w:rsid w:val="003020E8"/>
    <w:rsid w:val="00314C00"/>
    <w:rsid w:val="00316A15"/>
    <w:rsid w:val="0035097C"/>
    <w:rsid w:val="003664C1"/>
    <w:rsid w:val="00382F43"/>
    <w:rsid w:val="003900A4"/>
    <w:rsid w:val="003A2408"/>
    <w:rsid w:val="003B08D7"/>
    <w:rsid w:val="003C107B"/>
    <w:rsid w:val="003C27A1"/>
    <w:rsid w:val="00404F25"/>
    <w:rsid w:val="004050FC"/>
    <w:rsid w:val="00417231"/>
    <w:rsid w:val="00430039"/>
    <w:rsid w:val="004370EA"/>
    <w:rsid w:val="0045177D"/>
    <w:rsid w:val="00471B67"/>
    <w:rsid w:val="00491652"/>
    <w:rsid w:val="004A405C"/>
    <w:rsid w:val="004A5FE8"/>
    <w:rsid w:val="004C1FB0"/>
    <w:rsid w:val="0050361F"/>
    <w:rsid w:val="00507A3C"/>
    <w:rsid w:val="0051117E"/>
    <w:rsid w:val="005148AD"/>
    <w:rsid w:val="00551503"/>
    <w:rsid w:val="00552A19"/>
    <w:rsid w:val="005742CE"/>
    <w:rsid w:val="00583334"/>
    <w:rsid w:val="0058476D"/>
    <w:rsid w:val="0059379D"/>
    <w:rsid w:val="005D3F93"/>
    <w:rsid w:val="005E6418"/>
    <w:rsid w:val="006057DC"/>
    <w:rsid w:val="006277E6"/>
    <w:rsid w:val="00647544"/>
    <w:rsid w:val="00655AA0"/>
    <w:rsid w:val="00670F88"/>
    <w:rsid w:val="00691592"/>
    <w:rsid w:val="006A0B5C"/>
    <w:rsid w:val="006A1819"/>
    <w:rsid w:val="006A4FAB"/>
    <w:rsid w:val="006B264D"/>
    <w:rsid w:val="006B7D47"/>
    <w:rsid w:val="006D3675"/>
    <w:rsid w:val="006E1E96"/>
    <w:rsid w:val="006E6F88"/>
    <w:rsid w:val="007028B1"/>
    <w:rsid w:val="00724D39"/>
    <w:rsid w:val="00725797"/>
    <w:rsid w:val="0073779B"/>
    <w:rsid w:val="00767EAC"/>
    <w:rsid w:val="00793073"/>
    <w:rsid w:val="007950FF"/>
    <w:rsid w:val="007A3D50"/>
    <w:rsid w:val="007B6056"/>
    <w:rsid w:val="007B7407"/>
    <w:rsid w:val="007D174B"/>
    <w:rsid w:val="007E7989"/>
    <w:rsid w:val="007F12E6"/>
    <w:rsid w:val="007F2939"/>
    <w:rsid w:val="00811ACA"/>
    <w:rsid w:val="00836ADE"/>
    <w:rsid w:val="00851803"/>
    <w:rsid w:val="0085281A"/>
    <w:rsid w:val="00856E34"/>
    <w:rsid w:val="00860F35"/>
    <w:rsid w:val="00862132"/>
    <w:rsid w:val="008642F3"/>
    <w:rsid w:val="00897734"/>
    <w:rsid w:val="008A3620"/>
    <w:rsid w:val="008B2F31"/>
    <w:rsid w:val="009067F5"/>
    <w:rsid w:val="0091794F"/>
    <w:rsid w:val="00922630"/>
    <w:rsid w:val="009405C5"/>
    <w:rsid w:val="009434AB"/>
    <w:rsid w:val="00943879"/>
    <w:rsid w:val="0095578D"/>
    <w:rsid w:val="00955E3B"/>
    <w:rsid w:val="00973BC5"/>
    <w:rsid w:val="009A7364"/>
    <w:rsid w:val="009B23BF"/>
    <w:rsid w:val="009B6B70"/>
    <w:rsid w:val="009C3330"/>
    <w:rsid w:val="009D2C0D"/>
    <w:rsid w:val="009E67B6"/>
    <w:rsid w:val="00A04647"/>
    <w:rsid w:val="00A20414"/>
    <w:rsid w:val="00A31E9E"/>
    <w:rsid w:val="00A341CC"/>
    <w:rsid w:val="00A3436B"/>
    <w:rsid w:val="00A34CFB"/>
    <w:rsid w:val="00A43C4E"/>
    <w:rsid w:val="00A572D3"/>
    <w:rsid w:val="00A60E9A"/>
    <w:rsid w:val="00A71B4C"/>
    <w:rsid w:val="00A91988"/>
    <w:rsid w:val="00AC1507"/>
    <w:rsid w:val="00AC4F0B"/>
    <w:rsid w:val="00AD5AF8"/>
    <w:rsid w:val="00AE739A"/>
    <w:rsid w:val="00B1022A"/>
    <w:rsid w:val="00B15328"/>
    <w:rsid w:val="00B46DE8"/>
    <w:rsid w:val="00B60DCA"/>
    <w:rsid w:val="00B637F1"/>
    <w:rsid w:val="00B9511A"/>
    <w:rsid w:val="00B96448"/>
    <w:rsid w:val="00B97E28"/>
    <w:rsid w:val="00BA400C"/>
    <w:rsid w:val="00BB2D7A"/>
    <w:rsid w:val="00BE192B"/>
    <w:rsid w:val="00BE3929"/>
    <w:rsid w:val="00BF4E54"/>
    <w:rsid w:val="00C00048"/>
    <w:rsid w:val="00C02CA8"/>
    <w:rsid w:val="00C17DAC"/>
    <w:rsid w:val="00C36247"/>
    <w:rsid w:val="00C4363C"/>
    <w:rsid w:val="00C4697C"/>
    <w:rsid w:val="00C5285E"/>
    <w:rsid w:val="00C75AE5"/>
    <w:rsid w:val="00C86DDA"/>
    <w:rsid w:val="00CC5FED"/>
    <w:rsid w:val="00CD3E2D"/>
    <w:rsid w:val="00D10B45"/>
    <w:rsid w:val="00D2606F"/>
    <w:rsid w:val="00D36579"/>
    <w:rsid w:val="00D36DCC"/>
    <w:rsid w:val="00D47B96"/>
    <w:rsid w:val="00D92C53"/>
    <w:rsid w:val="00DA0052"/>
    <w:rsid w:val="00DB092C"/>
    <w:rsid w:val="00DB22C2"/>
    <w:rsid w:val="00DC0F79"/>
    <w:rsid w:val="00DC1C2D"/>
    <w:rsid w:val="00DE34B4"/>
    <w:rsid w:val="00E03AC8"/>
    <w:rsid w:val="00E047C9"/>
    <w:rsid w:val="00E24ADC"/>
    <w:rsid w:val="00E25AE4"/>
    <w:rsid w:val="00E2682E"/>
    <w:rsid w:val="00E545C0"/>
    <w:rsid w:val="00E5515A"/>
    <w:rsid w:val="00E82B5B"/>
    <w:rsid w:val="00EA6ACE"/>
    <w:rsid w:val="00EE52E3"/>
    <w:rsid w:val="00F0098A"/>
    <w:rsid w:val="00F05B15"/>
    <w:rsid w:val="00F07EFB"/>
    <w:rsid w:val="00F2647D"/>
    <w:rsid w:val="00F649B1"/>
    <w:rsid w:val="00F66025"/>
    <w:rsid w:val="00F940E3"/>
    <w:rsid w:val="00F9588C"/>
    <w:rsid w:val="00FB28F5"/>
    <w:rsid w:val="00FD30BF"/>
    <w:rsid w:val="00FD443B"/>
    <w:rsid w:val="00FE0B5D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D5A3"/>
  <w15:docId w15:val="{357A0854-D2EF-4ABB-B70D-615E8ABB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g">
    <w:name w:val="rg"/>
    <w:basedOn w:val="Normal"/>
    <w:rsid w:val="00F2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">
    <w:name w:val="cn"/>
    <w:basedOn w:val="Normal"/>
    <w:rsid w:val="00F2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7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1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1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11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1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2939"/>
    <w:pPr>
      <w:spacing w:after="0" w:line="240" w:lineRule="auto"/>
    </w:pPr>
  </w:style>
  <w:style w:type="paragraph" w:customStyle="1" w:styleId="tt">
    <w:name w:val="tt"/>
    <w:basedOn w:val="Normal"/>
    <w:rsid w:val="00D3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E7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E34"/>
  </w:style>
  <w:style w:type="paragraph" w:styleId="Footer">
    <w:name w:val="footer"/>
    <w:basedOn w:val="Normal"/>
    <w:link w:val="FooterChar"/>
    <w:uiPriority w:val="99"/>
    <w:unhideWhenUsed/>
    <w:rsid w:val="0085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64374F24-DAD9-4AFA-A26D-295AB7729A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AAA771-1E03-4CFB-9FE0-80D62AD3D3E1}"/>
</file>

<file path=customXml/itemProps3.xml><?xml version="1.0" encoding="utf-8"?>
<ds:datastoreItem xmlns:ds="http://schemas.openxmlformats.org/officeDocument/2006/customXml" ds:itemID="{7274529B-CB93-4371-B85D-B51AB8BB63C3}"/>
</file>

<file path=customXml/itemProps4.xml><?xml version="1.0" encoding="utf-8"?>
<ds:datastoreItem xmlns:ds="http://schemas.openxmlformats.org/officeDocument/2006/customXml" ds:itemID="{5008B75E-675B-420C-B598-F46DF0A94E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1542</Words>
  <Characters>8794</Characters>
  <Application>Microsoft Office Word</Application>
  <DocSecurity>0</DocSecurity>
  <Lines>73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Prodan</dc:creator>
  <cp:lastModifiedBy>Chirila Veronica</cp:lastModifiedBy>
  <cp:revision>2</cp:revision>
  <cp:lastPrinted>2020-12-21T12:15:00Z</cp:lastPrinted>
  <dcterms:created xsi:type="dcterms:W3CDTF">2020-12-28T11:29:00Z</dcterms:created>
  <dcterms:modified xsi:type="dcterms:W3CDTF">2020-12-28T11:29:00Z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