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693" w:rsidRPr="00025693" w:rsidRDefault="00025693" w:rsidP="00025693">
      <w:pPr>
        <w:shd w:val="clear" w:color="auto" w:fill="FFFFFF"/>
        <w:spacing w:after="0" w:line="240" w:lineRule="auto"/>
        <w:jc w:val="center"/>
        <w:rPr>
          <w:rFonts w:ascii="Georgia" w:eastAsia="Times New Roman" w:hAnsi="Georgia" w:cs="Times New Roman"/>
          <w:color w:val="333333"/>
          <w:sz w:val="24"/>
          <w:szCs w:val="24"/>
          <w:lang w:eastAsia="ru-RU"/>
        </w:rPr>
      </w:pPr>
      <w:r w:rsidRPr="00025693">
        <w:rPr>
          <w:rFonts w:ascii="Georgia" w:eastAsia="Times New Roman" w:hAnsi="Georgia" w:cs="Times New Roman"/>
          <w:noProof/>
          <w:color w:val="333333"/>
          <w:sz w:val="24"/>
          <w:szCs w:val="24"/>
          <w:lang w:eastAsia="ru-RU"/>
        </w:rPr>
        <w:drawing>
          <wp:inline distT="0" distB="0" distL="0" distR="0">
            <wp:extent cx="762000" cy="962025"/>
            <wp:effectExtent l="0" t="0" r="0" b="9525"/>
            <wp:docPr id="1" name="Picture 1" descr="https://www.legis.md/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gis.md/doc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p>
    <w:p w:rsidR="00025693" w:rsidRPr="00025693" w:rsidRDefault="00025693" w:rsidP="00025693">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025693">
        <w:rPr>
          <w:rFonts w:ascii="Times New Roman" w:eastAsia="Times New Roman" w:hAnsi="Times New Roman" w:cs="Times New Roman"/>
          <w:color w:val="333333"/>
          <w:sz w:val="28"/>
          <w:szCs w:val="28"/>
          <w:lang w:val="ro-MD" w:eastAsia="ru-RU"/>
        </w:rPr>
        <w:t>Republica Moldova</w:t>
      </w:r>
    </w:p>
    <w:p w:rsidR="00025693" w:rsidRPr="00025693" w:rsidRDefault="00025693" w:rsidP="00025693">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025693">
        <w:rPr>
          <w:rFonts w:ascii="Times New Roman" w:eastAsia="Times New Roman" w:hAnsi="Times New Roman" w:cs="Times New Roman"/>
          <w:b/>
          <w:bCs/>
          <w:color w:val="333333"/>
          <w:sz w:val="28"/>
          <w:szCs w:val="28"/>
          <w:lang w:val="ro-MD" w:eastAsia="ru-RU"/>
        </w:rPr>
        <w:t>PARLAMENTUL</w:t>
      </w:r>
    </w:p>
    <w:p w:rsidR="00025693" w:rsidRPr="00025693" w:rsidRDefault="00025693" w:rsidP="00025693">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025693">
        <w:rPr>
          <w:rFonts w:ascii="Times New Roman" w:eastAsia="Times New Roman" w:hAnsi="Times New Roman" w:cs="Times New Roman"/>
          <w:b/>
          <w:bCs/>
          <w:color w:val="333333"/>
          <w:sz w:val="28"/>
          <w:szCs w:val="28"/>
          <w:lang w:val="ro-MD" w:eastAsia="ru-RU"/>
        </w:rPr>
        <w:t>LEGE</w:t>
      </w:r>
      <w:r w:rsidRPr="00025693">
        <w:rPr>
          <w:rFonts w:ascii="Times New Roman" w:eastAsia="Times New Roman" w:hAnsi="Times New Roman" w:cs="Times New Roman"/>
          <w:color w:val="333333"/>
          <w:sz w:val="28"/>
          <w:szCs w:val="28"/>
          <w:lang w:val="ro-MD" w:eastAsia="ru-RU"/>
        </w:rPr>
        <w:t> Nr. 205</w:t>
      </w:r>
      <w:r w:rsidRPr="00025693">
        <w:rPr>
          <w:rFonts w:ascii="Times New Roman" w:eastAsia="Times New Roman" w:hAnsi="Times New Roman" w:cs="Times New Roman"/>
          <w:color w:val="333333"/>
          <w:sz w:val="28"/>
          <w:szCs w:val="28"/>
          <w:lang w:val="ro-MD" w:eastAsia="ru-RU"/>
        </w:rPr>
        <w:br/>
        <w:t>din 06-12-2021</w:t>
      </w:r>
    </w:p>
    <w:p w:rsidR="00025693" w:rsidRPr="00025693" w:rsidRDefault="00025693" w:rsidP="00025693">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025693">
        <w:rPr>
          <w:rFonts w:ascii="Times New Roman" w:eastAsia="Times New Roman" w:hAnsi="Times New Roman" w:cs="Times New Roman"/>
          <w:b/>
          <w:bCs/>
          <w:color w:val="333333"/>
          <w:sz w:val="28"/>
          <w:szCs w:val="28"/>
          <w:lang w:val="ro-MD" w:eastAsia="ru-RU"/>
        </w:rPr>
        <w:t>bugetului de stat pentru anul 2022</w:t>
      </w:r>
    </w:p>
    <w:p w:rsidR="00025693" w:rsidRPr="00025693" w:rsidRDefault="00025693" w:rsidP="00025693">
      <w:pPr>
        <w:shd w:val="clear" w:color="auto" w:fill="FFFFFF"/>
        <w:spacing w:before="165" w:after="165" w:line="240" w:lineRule="auto"/>
        <w:outlineLvl w:val="3"/>
        <w:rPr>
          <w:rFonts w:ascii="Times New Roman" w:eastAsia="Times New Roman" w:hAnsi="Times New Roman" w:cs="Times New Roman"/>
          <w:color w:val="333333"/>
          <w:sz w:val="28"/>
          <w:szCs w:val="28"/>
          <w:lang w:val="ro-MD" w:eastAsia="ru-RU"/>
        </w:rPr>
      </w:pPr>
      <w:r w:rsidRPr="00025693">
        <w:rPr>
          <w:rFonts w:ascii="Times New Roman" w:eastAsia="Times New Roman" w:hAnsi="Times New Roman" w:cs="Times New Roman"/>
          <w:color w:val="333333"/>
          <w:sz w:val="28"/>
          <w:szCs w:val="28"/>
          <w:lang w:val="ro-MD" w:eastAsia="ru-RU"/>
        </w:rPr>
        <w:t>Publicat : 24-12-2021 în Monitorul Oficial Nr. 315-324 art. 478</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Parlamentul adoptă prezenta lege organică.</w:t>
      </w:r>
    </w:p>
    <w:p w:rsidR="00025693" w:rsidRPr="00025693" w:rsidRDefault="00025693" w:rsidP="00025693">
      <w:pPr>
        <w:spacing w:after="0" w:line="240" w:lineRule="auto"/>
        <w:ind w:firstLine="709"/>
        <w:jc w:val="center"/>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center"/>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Capitolul I</w:t>
      </w:r>
    </w:p>
    <w:p w:rsidR="00025693" w:rsidRPr="00025693" w:rsidRDefault="00025693" w:rsidP="00025693">
      <w:pPr>
        <w:spacing w:after="0" w:line="240" w:lineRule="auto"/>
        <w:ind w:firstLine="709"/>
        <w:jc w:val="center"/>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DISPOZIŢII GENERALE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w:t>
      </w:r>
      <w:r w:rsidRPr="00025693">
        <w:rPr>
          <w:rFonts w:ascii="Times New Roman" w:eastAsia="Times New Roman" w:hAnsi="Times New Roman" w:cs="Times New Roman"/>
          <w:color w:val="262626"/>
          <w:sz w:val="28"/>
          <w:szCs w:val="28"/>
          <w:shd w:val="clear" w:color="auto" w:fill="FFFFFF"/>
          <w:lang w:val="ro-MD" w:eastAsia="ru-RU"/>
        </w:rPr>
        <w:t> – (1) Bugetul de stat pentru anul 2022 se aprobă la venituri în sumă de 50066602,7 mii de lei şi la cheltuieli în sumă de 65202602,7 mii de lei, cu un deficit în sumă de 15136000,0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Indicatorii generali şi sursele de finanţare ale bugetului de stat se prezintă în anexa nr. 1.</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(3) Componenţa veniturilor bugetului de stat şi sursele de finanţare a soldului bugetar se prezintă în anexa nr. 2.</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(4) Bugetele autorităţilor finanţate de la bugetul de stat la cheltuieli şi resurse se prezintă în anexa nr. 3.</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(5) Cheltuielile bugetului de stat conform clasificaţiei funcţionale se prezintă în anexa nr. 4.</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(6) Volumul cheltuielilor de personal pe autorităţi publice centrale se prezintă în anexa nr. 5.</w:t>
      </w:r>
    </w:p>
    <w:p w:rsidR="00025693" w:rsidRPr="00025693" w:rsidRDefault="00025693" w:rsidP="00025693">
      <w:pPr>
        <w:spacing w:after="0" w:line="240" w:lineRule="auto"/>
        <w:ind w:firstLine="709"/>
        <w:jc w:val="center"/>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center"/>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Capitolul II</w:t>
      </w:r>
    </w:p>
    <w:p w:rsidR="00025693" w:rsidRPr="00025693" w:rsidRDefault="00025693" w:rsidP="00025693">
      <w:pPr>
        <w:spacing w:after="0" w:line="240" w:lineRule="auto"/>
        <w:ind w:firstLine="709"/>
        <w:jc w:val="center"/>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REGLEMENTĂRI SPECIFICE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2.</w:t>
      </w:r>
      <w:r w:rsidRPr="00025693">
        <w:rPr>
          <w:rFonts w:ascii="Times New Roman" w:eastAsia="Times New Roman" w:hAnsi="Times New Roman" w:cs="Times New Roman"/>
          <w:color w:val="262626"/>
          <w:sz w:val="28"/>
          <w:szCs w:val="28"/>
          <w:shd w:val="clear" w:color="auto" w:fill="FFFFFF"/>
          <w:lang w:val="ro-MD" w:eastAsia="ru-RU"/>
        </w:rPr>
        <w:t> – În bugetele unor autorităţi/instituţii bugetare, conform domeniilor de competenţă, se aprobă alocaţii pentru scopuri specifice după cum urmează: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pentru Fondul rutier – în sumă de 1485348,4 mii de lei. Defalcările anuale din volumul total al accizelor la produsele petroliere, cu excepția gazului lichefiat, nu vor depăşi 58,0%;</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pentru realizarea procesului de privatizare a bunurilor proprietate publică de stat, inclusiv în bază de proiecte individuale – în sumă de 3000,0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pentru Fondul pentru eficienţă energetică – în sumă de 30000,0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d) pentru Fondul naţional pentru dezvoltare regională – în sumă de 770000,0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lastRenderedPageBreak/>
        <w:t>e) pentru Fondul naţional de dezvoltare a agriculturii şi mediului rural – în sumă de 1500000,0 mii de lei. Repartizarea acestor alocații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f) pentru Fondul viei şi vinului – în sumă de 40696,2 mii de lei, din care 19696,2 mii de lei din Fondul naţional de dezvoltare a agriculturii şi mediului rural;</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g) pentru Fondul ecologic naţional – în sumă de 250000,0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h) pentru formarea profesională a cadrelor didactice și de conducere din învățământul general – în sumă de 2000,0 mii de lei, pentru dezvoltarea conținuturilor curriculare la disciplinele școlare din învățământul primar, gimnazial, liceal, inclusiv extrașcolar – în sumă de 9500,0 mii de lei, pentru implementarea standardelor minime educaționale – în sumă de 2000,0 mii de lei și pentru consolidarea calității educației – în sumă de 83312,7 mii de lei, din contul împrumutului acordat de Banca Mondială în cadrul proiectului „Reforma învăţământului în Moldova”;</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i) pentru susţinerea activităţii teatrelor, a circului şi a organizaţiilor concertistice – în sumă de 181914,9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j) pentru compensarea parţială a contribuţiilor de asigurări sociale de stat obligatorii care se plătesc de către organizaţiile şi întreprinderile Asociaţiei Obşteşti „Asociaţia Nevăzătorilor din Moldova” – în sumă de 793,0 mii de lei, ale Asociaţiei Surzilor din Republica Moldova – în sumă de 859,6 mii de lei şi ale Societăţii Invalizilor din Republica Moldova – în sumă de 680,9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k) pentru procurarea de utilaj şi materie primă întreprinderilor Asociaţiei Obștești „Asociaţia Nevăzătorilor din Moldova” – în sumă de 2107,7  mii de lei, ale Asociaţiei Surzilor din Republica Moldova – în sumă de 1445,5 mii de lei şi ale Societății Invalizilor din Republica Moldova – în sumă de 1607,6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l) pentru crearea locurilor de muncă la întreprinderile Asociaţiei Obștești „Asociaţia Nevăzătorilor din Moldova” – în sumă de 250,0 mii de lei şi ale Societății Invalizilor din Republica Moldova – în sumă de 250,0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m) pentru plata de către Asociaţia Surzilor din Republica Moldova a serviciilor de traducere a limbajului prin semne al persoanelor surde, mute ori surdomute, acordate de interpreţi la solicitarea acestor persoane – în sumă de 573,6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n) pentru Fondul de susţinere a populaţiei – în sumă de 135550,0 mii de lei, inclusiv 119000,0 mii de lei pentru finanţarea pachetului minim de servicii sociale de către autorităţile administraţiei publice locale de nivelul al doilea;</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o) pentru finanţarea partidelor politice – în sumă de 42031,0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p) pentru finanţarea investiţiilor capitale pe autorităţi bugetare – în sumă de 2662830,6 mii de lei, cu repartizarea lor conform anexei nr. 6;</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q) în bugetul Ministerului Infrastructurii și Dezvoltării Regionale, pentru lucrări de renovare/construcţie a blocurilor sanitare în instituţiile de învăţământ primar, gimnazial şi liceal – în sumă de 25065,5 mii de lei şi pentru lucrări de renovare a instituţiilor de învăţământ primar, gimnazial şi liceal din subordinea autorităţilor publice locale din contul împrumutului acordat de Banca Mondială în cadrul proiectului „Reforma învăţământului în Moldova” – în sumă de 16235,6 mii de lei. </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3.</w:t>
      </w:r>
      <w:r w:rsidRPr="00025693">
        <w:rPr>
          <w:rFonts w:ascii="Times New Roman" w:eastAsia="Times New Roman" w:hAnsi="Times New Roman" w:cs="Times New Roman"/>
          <w:color w:val="262626"/>
          <w:sz w:val="28"/>
          <w:szCs w:val="28"/>
          <w:shd w:val="clear" w:color="auto" w:fill="FFFFFF"/>
          <w:lang w:val="ro-MD" w:eastAsia="ru-RU"/>
        </w:rPr>
        <w:t> – În bugetul de stat se aprobă alocaţii pentru: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plata cotizaţiilor în organizaţiile internaţionale al căror membru este Republica Moldova – în sumă de 62401,0 mii de lei, pentru activităţi de reintegrare a ţării – în sumă de 15000,0 mii de lei. Repartizarea acestor alocaţii se va efectua în baza hotărârilor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fondul de rezervă al Guvernului – în sumă de 500000,0 mii de lei şi fondul de intervenţie al Guvernului – în sumă de 300000,0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susţinerea programului de granturi pentru iniţiativele tinerilor la nivel local – în sumă de 1500,0 mii de lei. Repartizarea acestor alocaţii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d) susţinerea programului „Diaspora Acasă Reuşeşte «DAR 1+3»” – în sumă de 10000,0 mii de lei. Repartizarea acestor alocaţii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e) subvenţionarea locurilor de muncă – în sumă de 10000,0 mii de lei. Repartizarea acestor alocaţii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f) asigurarea prevederilor cadrului normativ privind salarizarea în sectorul bugetar, inclusiv pentru acordarea premiului anual pentru rezultatele activității în anul 2021 în cazul neachitării acestuia de către unitățile bugetare în anul 2021 – în sumă de 592000,0 mii de lei. Repartizarea acestor alocaţii pe autorităţi publice se va efectua în baza hotărârilor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g) acordarea compensațiilor salariaților pentru implementarea măsurilor speciale privind asigurarea securității, protecției vieții și sănătății populației – în sumă de 50000,0 mii de lei. Repartizarea acestor alocații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4.</w:t>
      </w:r>
      <w:r w:rsidRPr="00025693">
        <w:rPr>
          <w:rFonts w:ascii="Times New Roman" w:eastAsia="Times New Roman" w:hAnsi="Times New Roman" w:cs="Times New Roman"/>
          <w:color w:val="262626"/>
          <w:sz w:val="28"/>
          <w:szCs w:val="28"/>
          <w:shd w:val="clear" w:color="auto" w:fill="FFFFFF"/>
          <w:lang w:val="ro-MD" w:eastAsia="ru-RU"/>
        </w:rPr>
        <w:t> – (1) În bugetul de stat se aprobă transferuri către alte bugete şi fonduri: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la bugetul asigurărilor sociale de stat – în sumă de 12550012,5 mii de lei, din care pentru acoperirea deficitului bugetului asigurărilor sociale de stat – 2931127,5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la fondurile asigurării obligatorii de asistenţă medicală – în sumă de 6071930,0  mii de lei, din care pentru realizarea programelor naționale în domeniul ocrotirii sănătății – 150648,1 mii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la bugetele locale – în sumă totală de 14913939,0 mii de lei. Repartizarea transferurilor la bugetele locale se efectuează conform anexei nr. 7.</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Fondul de susţinere financiară a unităţilor administrativ-teritoriale este suplimentat cu cota-parte de 10% din impozitul pe venitul din activitatea de întreprinzător încasat în anul 2020. Pentru unităţile administrativ-teritoriale care atestă diminuări ale mijloacelor primite de la bugetul de stat comparativ cu anul 2021, din bugetul de stat se alocă transferuri de compensare în sumă de 224746,6 mii de lei. </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5.</w:t>
      </w:r>
      <w:r w:rsidRPr="00025693">
        <w:rPr>
          <w:rFonts w:ascii="Times New Roman" w:eastAsia="Times New Roman" w:hAnsi="Times New Roman" w:cs="Times New Roman"/>
          <w:color w:val="262626"/>
          <w:sz w:val="28"/>
          <w:szCs w:val="28"/>
          <w:shd w:val="clear" w:color="auto" w:fill="FFFFFF"/>
          <w:lang w:val="ro-MD" w:eastAsia="ru-RU"/>
        </w:rPr>
        <w:t xml:space="preserve"> – Pentru implementarea Programului de stat „Prima casă” se alocă suma de 89705,0 mii de lei, inclusiv 10000,0 mii de lei pentru onorarea garanţiilor </w:t>
      </w:r>
      <w:r w:rsidRPr="00025693">
        <w:rPr>
          <w:rFonts w:ascii="Times New Roman" w:eastAsia="Times New Roman" w:hAnsi="Times New Roman" w:cs="Times New Roman"/>
          <w:color w:val="262626"/>
          <w:sz w:val="28"/>
          <w:szCs w:val="28"/>
          <w:shd w:val="clear" w:color="auto" w:fill="FFFFFF"/>
          <w:lang w:val="ro-MD" w:eastAsia="ru-RU"/>
        </w:rPr>
        <w:lastRenderedPageBreak/>
        <w:t>de stat în cadrul Programului. Repartizarea acestor alocaţii se va efectua în modul stabilit de Guvern.</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6.</w:t>
      </w:r>
      <w:r w:rsidRPr="00025693">
        <w:rPr>
          <w:rFonts w:ascii="Times New Roman" w:eastAsia="Times New Roman" w:hAnsi="Times New Roman" w:cs="Times New Roman"/>
          <w:color w:val="262626"/>
          <w:sz w:val="28"/>
          <w:szCs w:val="28"/>
          <w:shd w:val="clear" w:color="auto" w:fill="FFFFFF"/>
          <w:lang w:val="ro-MD" w:eastAsia="ru-RU"/>
        </w:rPr>
        <w:t> – (1) Se alocă mijloace financiare pentru: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majorarea capitalului social al Întreprinderii de Stat „Calea Ferată din Moldova” – în sumă de până la 377756,6 mii de lei (echivalentul a 17170,8 mii de euro) din contul împrumutului acordat de Banca Europeană de Investiții în cadrul Proiectului de achiziţie a locomotivelor şi de restructurare a infrastructurii feroviare;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majorarea capitalului social al Societății cu Răspundere Limitată „Arena Națională” – în sumă de până la 69567,2 mii de lei (echivalentul a 3162,15 mii de euro);</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majorarea capitalului autorizat deținut de Republica Moldova la Banca Internațională pentru Reconstrucție şi Dezvoltare – în suma de până la 40938,9 mii de lei (echivalentul a 2181,1 mii de dolari SUA) și la Corporația Financiară Internațională – în suma de până la 18375,8 mii de lei (echivalentul a 979,0 mii de dolari SUA).</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Alocarea mijloacelor prevăzute la alin. (1) se va efectua în baza hotărârilor de Guvern.</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7.</w:t>
      </w:r>
      <w:r w:rsidRPr="00025693">
        <w:rPr>
          <w:rFonts w:ascii="Times New Roman" w:eastAsia="Times New Roman" w:hAnsi="Times New Roman" w:cs="Times New Roman"/>
          <w:color w:val="262626"/>
          <w:sz w:val="28"/>
          <w:szCs w:val="28"/>
          <w:shd w:val="clear" w:color="auto" w:fill="FFFFFF"/>
          <w:lang w:val="ro-MD" w:eastAsia="ru-RU"/>
        </w:rPr>
        <w:t> – Mijloacele financiare primite de la bugetele componente ale bugetului public naţional de către autorităţile/instituţiile publice la autogestiune, întreprinderile de stat şi societățile pe acțiuni ai căror fondatori sunt autorităţile publice centrale şi locale, conform anexei nr. 8, se gestionează prin Contul Unic Trezorerial al Ministerului Finanţelor.</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8.</w:t>
      </w:r>
      <w:r w:rsidRPr="00025693">
        <w:rPr>
          <w:rFonts w:ascii="Times New Roman" w:eastAsia="Times New Roman" w:hAnsi="Times New Roman" w:cs="Times New Roman"/>
          <w:color w:val="262626"/>
          <w:sz w:val="28"/>
          <w:szCs w:val="28"/>
          <w:shd w:val="clear" w:color="auto" w:fill="FFFFFF"/>
          <w:lang w:val="ro-MD" w:eastAsia="ru-RU"/>
        </w:rPr>
        <w:t> – Se stabilește că, la situația din 31 decembrie 2022, datoria de stat internă nu va depăşi 39575,3 milioane de lei, datoria de stat externă – 63735,8  milioane de lei (echivalentul a 3317,8 milioane de dolari SUA). Soldul garanţiilor de stat externe va constitui zero lei, iar soldul garanţiilor de stat interne nu va depăşi 2500,0 milioane de lei.</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9.</w:t>
      </w:r>
      <w:r w:rsidRPr="00025693">
        <w:rPr>
          <w:rFonts w:ascii="Times New Roman" w:eastAsia="Times New Roman" w:hAnsi="Times New Roman" w:cs="Times New Roman"/>
          <w:color w:val="262626"/>
          <w:sz w:val="28"/>
          <w:szCs w:val="28"/>
          <w:shd w:val="clear" w:color="auto" w:fill="FFFFFF"/>
          <w:lang w:val="ro-MD" w:eastAsia="ru-RU"/>
        </w:rPr>
        <w:t> – (1) Impozitul privat reprezintă o plată unică ce se percepe la efectuarea tranzacțiilor cu bunuri proprietate publică în procesul de privatizare, indiferent de tipul mijloacelor folosite.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Subiecți ai impunerii cu impozit privat sunt persoanele juridice şi persoanele fizice din Republica Moldova, precum şi persoanele juridice şi persoanele fizice străine cărora, în procesul de privatizare, li se dau în proprietate privată bunuri proprietate publică.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(3) Obiecte ale impunerii cu impozit privat sunt bunurile proprietate publică, inclusiv acțiunile.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(4) Cota impozitului privat se stabilește la 1% din valoarea de achiziţie a bunurilor proprietate publică supuse privatizării, inclusiv din valoarea acțiunilor supuse privatizării.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lastRenderedPageBreak/>
        <w:t>(5) Impozitul privat se achită până la semnarea contractului de vânzare-cumpărare şi se virează la bugetul de stat sau la bugetul local, în funcţie de apartenența bunului.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(6) Impozitul privat nu se achită în cazul primirii gratuite în proprietate privată a bunurilor proprietate publică de către persoane fizice rezidente care nu desfășoară activitate de întreprinzător.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(7) În cazul rezoluțiunii contractului de vânzare-cumpărare, determinată de neexecutarea sau de executarea necorespunzătoare a obligațiilor asumate de cumpărător, sumele plătite în calitate de impozit privat nu se restituie.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(8) Monitorizarea îndeplinirii prevederilor prezentului articol revine autorităţilor publice centrale sau locale, în funcţie de apartenența bunului proprietate publică.</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10.</w:t>
      </w:r>
      <w:r w:rsidRPr="00025693">
        <w:rPr>
          <w:rFonts w:ascii="Times New Roman" w:eastAsia="Times New Roman" w:hAnsi="Times New Roman" w:cs="Times New Roman"/>
          <w:color w:val="262626"/>
          <w:sz w:val="28"/>
          <w:szCs w:val="28"/>
          <w:shd w:val="clear" w:color="auto" w:fill="FFFFFF"/>
          <w:lang w:val="ro-MD" w:eastAsia="ru-RU"/>
        </w:rPr>
        <w:t> – (1) Pentru calcularea, începând cu 1 ianuarie 2022, a salariilor angajaților din sectorul bugetar, în conformitate cu prevederile Legii nr. 270/2018 privind sistemul unitar de salarizare în sectorul bugetar, se stabilește valoarea de referință în mărime de 1800 de lei.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Prin derogare de la prevederile alin. (1), se stabilesc următoarele valori de referință: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în mărime de 1400 de lei – pentru persoanele cu funcții de demnitate publică din cadrul autorităţilor/instituţiilor finanţate de la bugetul de stat, cu excepţia judecătorilor, a procurorilor, a inspectorilor-judecători, a Secretarului general al Guvernului, a Secretarului general al Aparatului Președintelui Republicii Moldova, a Secretarului general al Parlamentului, a secretarilor de stat, a directorului Serviciului Fiscal de Stat și a directorului Serviciului Vamal, a șefilor şi șefilor adjuncți ai oficiilor teritoriale ale Cancelariei de Stat, a consilierilor pentru soluționarea contestațiilor;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în mărime de 1900 de lei pentru: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personalul didactic, ştiinţifico-didactic şi personalul de conducere din cadrul instituţiilor de învăţământ, conducătorii (directori şi directori adjuncți) instituţiilor de educaţie timpurie, de învăţământ primar, gimnazial, liceal şi profesional tehnic, directorii/directorii adjuncți ai altor instituţii de învăţământ decât cele de educaţie timpurie, de învăţământ primar, gimnazial, liceal şi profesional tehnic;</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personalul care, conform anexelor la Legea nr. 270/2018 privind sistemul unitar de salarizare în sectorul bugetar, se încadrează în clasele de salarizare de la 1 până la 25;</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corpul de subofiţeri din cadrul Ministerului Afacerilor Interne;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efectivul de soldaţi şi sergenţi din cadrul Ministerului Apărării;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consilierii pentru soluţionarea contestaţiilor din cadrul Agenţiei Naţionale pentru Soluţionarea Contestaţiilor, inclusiv directorul general şi directorul general adjunct;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în mărime de 2000 de lei – pentru personalul, inclusiv cu funcţii de demnitate publică, din cadrul Serviciului Protecţie şi Pază de Stat;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d) în mărime de 2500 de lei pentru: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lastRenderedPageBreak/>
        <w:t>– judecători (cu excepţia judecătorilor din cadrul Curţii Constituţionale, al Consiliului Superior al Magistraturii şi al Curţii Supreme de Justiţie), procurori, inspectori-judecători, inspectori din cadrul Inspecţiei procurorilor;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personalul, inclusiv cu funcţii de demnitate publică, din cadrul Serviciului de Informaţii şi Securitate, al Centrului Naţional Anticorupţie, al Autorităţii Naţionale de Integritate şi al Serviciului Prevenirea şi Combaterea Spălării Banilor;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personalul, inclusiv cu funcţii publice de conducere, din cadrul Autorităţii Aeronautice Civile;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e) în mărime de 2600 de lei – pentru judecătorii din cadrul Consiliului Superior al Magistraturii și al Curţii Supreme de Justiţie;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f) în mărime de 3000 de lei – pentru judecătorii din cadrul Curții Constituționale.</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11.</w:t>
      </w:r>
      <w:r w:rsidRPr="00025693">
        <w:rPr>
          <w:rFonts w:ascii="Times New Roman" w:eastAsia="Times New Roman" w:hAnsi="Times New Roman" w:cs="Times New Roman"/>
          <w:color w:val="262626"/>
          <w:sz w:val="28"/>
          <w:szCs w:val="28"/>
          <w:shd w:val="clear" w:color="auto" w:fill="FFFFFF"/>
          <w:lang w:val="ro-MD" w:eastAsia="ru-RU"/>
        </w:rPr>
        <w:t> – (1) Se aprobă cuantumul minim al chiriei bunurilor proprietate publică conform anexei nr. 9.</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Se scutesc de plata chiriei (exceptând plata serviciilor comunale):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autorităţile/instituţiile bugetare finanţate de la bugetul de stat, instituţiile publice ce implementează proiecte finanţate din surse externe – parte a bugetului de stat (unități de implementare) şi uniunile de creație – pentru încăperile închiriate de la alte autorităţi/instituţii bugetare finanţate de la bugetul de stat, precum şi de la întreprinderile de stat al căror fondator este autoritatea ierarhic superioară acestora, fără drept de sublocaţiune;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întreprinderile de stat al căror fondator este Administraţia Naţională a Penitenciarelor – pentru încăperile închiriate de la instituţiile din cadrul sistemului penitenciar.</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12.</w:t>
      </w:r>
      <w:r w:rsidRPr="00025693">
        <w:rPr>
          <w:rFonts w:ascii="Times New Roman" w:eastAsia="Times New Roman" w:hAnsi="Times New Roman" w:cs="Times New Roman"/>
          <w:color w:val="262626"/>
          <w:sz w:val="28"/>
          <w:szCs w:val="28"/>
          <w:shd w:val="clear" w:color="auto" w:fill="FFFFFF"/>
          <w:lang w:val="ro-MD" w:eastAsia="ru-RU"/>
        </w:rPr>
        <w:t> – Despăgubirile pentru persoanele care, potrivit legislaţiei, sunt supuse asigurării de stat obligatorii se plătesc, în baza documentelor întocmite de către serviciile de specialitate ale autorităţilor/instituţiilor în care sunt angajate aceste persoane, din mijloacele autorităţilor/instituţiilor respective.</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13.</w:t>
      </w:r>
      <w:r w:rsidRPr="00025693">
        <w:rPr>
          <w:rFonts w:ascii="Times New Roman" w:eastAsia="Times New Roman" w:hAnsi="Times New Roman" w:cs="Times New Roman"/>
          <w:color w:val="262626"/>
          <w:sz w:val="28"/>
          <w:szCs w:val="28"/>
          <w:shd w:val="clear" w:color="auto" w:fill="FFFFFF"/>
          <w:lang w:val="ro-MD" w:eastAsia="ru-RU"/>
        </w:rPr>
        <w:t> – (1) Comisioanele pentru serviciile de distribuire a compensaţiilor persoanelor supuse represiunilor politice, a compensaţiilor unice pentru conectarea la conducta de gaze naturale, a indemnizaţiilor unice pentru construcţia de case individuale sau de locuinţe cooperatiste, pentru procurarea de spaţiu locativ sau pentru restaurarea caselor vechi, a plăţilor sociale efectuate din mijloacele Fondului de susţinere a populaţiei şi a altor plăţi sociale cu destinaţie specială pentru unele categorii de populaţie prevăzute în bugetul de stat se stabilesc la încheierea contractelor între prestatorii de servicii de plată şi Ministerul Finanţelor și nu vor depăși valoarea maximă de 0,4% din suma distribuită la conturi de plăți și  0,8% din suma distribuită în numerar.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xml:space="preserve">(2) Comisioanele pentru serviciile de recepţionare a cererilor pentru indexarea şi distribuirea sumelor indexate conform Legii nr. 1530/2002 privind indexarea depunerilor băneşti ale cetăţenilor în Banca de Economii, prestate prin intermediul </w:t>
      </w:r>
      <w:r w:rsidRPr="00025693">
        <w:rPr>
          <w:rFonts w:ascii="Times New Roman" w:eastAsia="Times New Roman" w:hAnsi="Times New Roman" w:cs="Times New Roman"/>
          <w:color w:val="262626"/>
          <w:sz w:val="28"/>
          <w:szCs w:val="28"/>
          <w:shd w:val="clear" w:color="auto" w:fill="FFFFFF"/>
          <w:lang w:val="ro-MD" w:eastAsia="ru-RU"/>
        </w:rPr>
        <w:lastRenderedPageBreak/>
        <w:t>Întreprinderii de Stat „Poşta Moldovei”, se stabilesc la valoarea maximă de 10 lei pentru cererea recepţionată şi la valoarea maximă de 0,8% din suma distribuită.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(3) Comisioanele pentru eliberarea numerarului de către bănci pentru plata prestaţiilor sociale specificate la alin. (1) şi (2), precum şi pentru plăţile sociale distribuite prin serviciul guvernamental de plăţi electronice, prin intermediul Întreprinderii de Stat „Poşta Moldovei” se stabilesc la valoarea maximă de 0,25% din suma eliberată şi se achită de la bugetul de stat.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(4) Comisioanele pentru serviciile de încasare prin alte instrumente de plată decât cardurile de plată de la populaţie, de la agenţii constatatori, de la perceptorii fiscali şi de la funcţionarii fiscali a plăţilor în Contul Unic Trezorerial al Ministerului Finanţelor (cu excepţia plăţii drepturilor de import-export), precum şi comisionul la restituirea plăţilor către populaţie se stabilesc în valoare maximă de 1,0% pentru o plată de la suma încasată/restituită, dar nu mai puţin de 1 leu şi nu mai mult de 2,5 lei pentru o plată, pe bază de contract încheiat de către Ministerul Finanţelor cu prestatorii de servicii de plată, şi se achită de la bugetul de stat.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(5) Comisioanele pentru serviciile de încasare prin carduri de plată de la populaţie a plăţilor la bugetele componente ale bugetului public naţional şi cele pentru restituirea plăţilor de la aceste bugete populaţiei se stabilesc la valoarea de 0,5% din suma notei de plată – în cazul plăţilor cu cardurile de plată emise în Republica Moldova şi de 2,2% din suma notei de plată – în cazul plăţilor cu cardurile de plată emise în afara Republicii Moldova, şi se achită de la bugetul de stat.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(6) Comisioanele specificate la alin. (3)–(5) pentru operaţiunile aferente bugetului asigurărilor sociale de stat şi fondurilor asigurării obligatorii de asistenţă medicală vor fi restituite în bugetul de stat din bugetul asigurărilor sociale de stat şi din fondurile asigurării obligatorii de asistenţă medicală.</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14.</w:t>
      </w:r>
      <w:r w:rsidRPr="00025693">
        <w:rPr>
          <w:rFonts w:ascii="Times New Roman" w:eastAsia="Times New Roman" w:hAnsi="Times New Roman" w:cs="Times New Roman"/>
          <w:color w:val="262626"/>
          <w:sz w:val="28"/>
          <w:szCs w:val="28"/>
          <w:shd w:val="clear" w:color="auto" w:fill="FFFFFF"/>
          <w:lang w:val="ro-MD" w:eastAsia="ru-RU"/>
        </w:rPr>
        <w:t> – (1) Se stabilește achitarea de la bugetul de stat a comisioanelor pentru: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executarea prin sistemul automatizat de plăți interbancare a documentelor de plată din sistemul trezorerial al Ministerului Finanțelor;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serviciile aferente deservirii operațiunilor cu numerar (încasare, eliberare în numerar) în conturile entităților deservite prin Contul Unic Trezorerial al Ministerului Finanțelor;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serviciile aferente deservirii operațiunilor valutare în conturile entităților deservite prin Contul Unic Trezorerial al Ministerului Finanțelor;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d) serviciile aferente deservirii conturilor destinate realizării proiectelor finanțate din surse externe, gestionate prin sistemul trezorerial;</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e) serviciile aferente distribuirii  mijloacelor bănești, în baza documentelor executorii, din conturile bugetului de stat și ale bugetelor locale;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f) menținerea gropurilor sigilate destinate păstrării valorilor.</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Comisionul pentru recepționarea de la persoanele fizice a drepturilor de import-export se achită de către Serviciul Vamal din contul alocațiilor aprobate acestuia în bugetul de stat, pe bază de contract încheiat cu banca.</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lastRenderedPageBreak/>
        <w:t>Art. 15.</w:t>
      </w:r>
      <w:r w:rsidRPr="00025693">
        <w:rPr>
          <w:rFonts w:ascii="Times New Roman" w:eastAsia="Times New Roman" w:hAnsi="Times New Roman" w:cs="Times New Roman"/>
          <w:color w:val="262626"/>
          <w:sz w:val="28"/>
          <w:szCs w:val="28"/>
          <w:shd w:val="clear" w:color="auto" w:fill="FFFFFF"/>
          <w:lang w:val="ro-MD" w:eastAsia="ru-RU"/>
        </w:rPr>
        <w:t> – (1) Dobânzile calculate la soldurile mijloacelor băneşti ale bugetelor componente ale bugetului public naţional, ale autorităţilor/instituţiilor publice la autogestiune şi ale altor entităţi, aflate în conturile deschise în Contul Unic Trezorerial al Ministerului Finanţelor/bănci, se repartizează corespunzător bugetului de stat, bugetului asigurărilor sociale de stat, fondurilor asigurării obligatorii de asistenţă medicală.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(2) Dobânzile calculate la soldurile mijloacelor băneşti în conturile deschise în bănci şi destinate realizării proiectelor finanţate din surse externe se virează integral la bugetele în a căror componenţă sunt incluse (bugetul de stat sau bugetele locale), cu excepţia dobânzilor calculate la soldurile mijloacelor băneşti ale Fondului de Dezvoltare Durabilă, care rămân în gestiunea acestuia.</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16.</w:t>
      </w:r>
      <w:r w:rsidRPr="00025693">
        <w:rPr>
          <w:rFonts w:ascii="Times New Roman" w:eastAsia="Times New Roman" w:hAnsi="Times New Roman" w:cs="Times New Roman"/>
          <w:color w:val="262626"/>
          <w:sz w:val="28"/>
          <w:szCs w:val="28"/>
          <w:shd w:val="clear" w:color="auto" w:fill="FFFFFF"/>
          <w:lang w:val="ro-MD" w:eastAsia="ru-RU"/>
        </w:rPr>
        <w:t> – Ministerul Finanţelor se autorizează:</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a) să modifice, la cererea întemeiată a autorităţilor bugetare indicatorii stabiliţi ai bugetului de stat la venituri şi cheltuieli în funcţie de volumul granturilor, al donaţiilor, al sponsorizărilor şi al altor mijloace intrate suplimentar cu titlu gratuit în posesia autorităţilor/instituţiilor bugetare;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b) să redistribuie, la propunerea Ministerului Infrastructurii şi Dezvoltării Regionale, alocaţiile aprobate pentru Fondul naţional pentru dezvoltare regională, în baza deciziei Consiliului Naţional de Coordonare a Dezvoltării Regionale;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c) să redistribuie, la propunerea Ministerului Mediului, alocaţiile aprobate pentru Fondul ecologic naţional, în baza deciziei Consiliului de administrare;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d) să redistribuie, la propunerea Ministerului Infrastructurii şi Dezvoltării Regionale, alocaţiile aprobate pentru Fondul pentru eficienţă energetică, în baza deciziei Consiliului de administrare;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e) să redistribuie, la propunerea Ministerului Educaţiei şi Cercetării, în baza cererilor întemeiate ale autorităţilor publice locale, alocaţiile aprobate pentru acordarea compensaţiilor băneşti personalului de conducere şi didactic din cadrul instituţiilor publice de învăţământ general, ca urmare a modificării numărului de beneficiari;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f) să redistribuie, la propunerea întemeiată a Agenţiei Naţionale pentru Cercetare şi Dezvoltare, mijloacele alocate pentru organizarea şi desfășurarea concursurilor de proiecte între autorităţile publice centrale care exercită calitatea de fondatori ai organizaţiilor de drept public din domeniile cercetării şi inovării;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g) să redistribuie, la propunerea întemeiată a Ministerului Educaţiei şi Cercetării:</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mijloacele alocate pentru finanţarea instituțională a organizaţiilor de drept public din domeniile cercetării şi inovării între autorităţile publice centrale care exercită calitatea de fondatori ai acestora;</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 mijloacele alocate pentru finanţarea instituţiilor publice de învăţământ superior între autorităţile publice centrale care exercită calitatea de fondatori ai acestora, în baza metodologiei aprobate de Guvern;</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h) să contracteze, pe parcursul anului bugetar, împrumuturi interne pe piaţa valorilor mobiliare de stat peste limitele prevăzute de bugetul de stat, cu scadenţă în anul 2022, pentru acoperirea decalajului temporar de casă al bugetului de stat;</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lastRenderedPageBreak/>
        <w:t>i) să recrediteze, din contul împrumuturilor externe, autorităţile executive ale unităţilor administrativ-teritoriale, drept garanţie de rambursare servind inclusiv transferurile cu destinaţie generală de la bugetul de stat către bugetele locale respective;</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262626"/>
          <w:sz w:val="28"/>
          <w:szCs w:val="28"/>
          <w:shd w:val="clear" w:color="auto" w:fill="FFFFFF"/>
          <w:lang w:val="ro-MD" w:eastAsia="ru-RU"/>
        </w:rPr>
        <w:t>j) să modifice raporturile dintre bugetul de stat şi bugetele locale în cazul delegării, în temei legal, a unor competenţe sau al retragerii lor, în cazul trecerii, în modul stabilit, a unor instituţii din subordinea autorităţilor publice locale în subordinea autorităţilor publice centrale şi viceversa, precum şi în cazul trecerii unor instituţii din subordinea autorităţilor publice locale de nivelul întâi în subordinea autorităţilor publice locale de nivelul al doilea şi viceversa.</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Art. 17.</w:t>
      </w:r>
      <w:r w:rsidRPr="00025693">
        <w:rPr>
          <w:rFonts w:ascii="Times New Roman" w:eastAsia="Times New Roman" w:hAnsi="Times New Roman" w:cs="Times New Roman"/>
          <w:color w:val="262626"/>
          <w:sz w:val="28"/>
          <w:szCs w:val="28"/>
          <w:shd w:val="clear" w:color="auto" w:fill="FFFFFF"/>
          <w:lang w:val="ro-MD" w:eastAsia="ru-RU"/>
        </w:rPr>
        <w:t> – Prezenta lege intră în vigoare la 1 ianuarie 2022.</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333333"/>
          <w:sz w:val="28"/>
          <w:szCs w:val="28"/>
          <w:shd w:val="clear" w:color="auto" w:fill="FFFFFF"/>
          <w:lang w:val="ro-MD" w:eastAsia="ru-RU"/>
        </w:rPr>
        <w:t> </w:t>
      </w: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PREȘEDINTELE PARLAMENTULUI                          Igor GROSU</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333333"/>
          <w:sz w:val="28"/>
          <w:szCs w:val="28"/>
          <w:shd w:val="clear" w:color="auto" w:fill="FFFFFF"/>
          <w:lang w:val="ro-MD" w:eastAsia="ru-RU"/>
        </w:rPr>
        <w:t> </w:t>
      </w:r>
    </w:p>
    <w:p w:rsidR="00025693" w:rsidRPr="00025693" w:rsidRDefault="00025693" w:rsidP="00025693">
      <w:pPr>
        <w:spacing w:after="0" w:line="240" w:lineRule="auto"/>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jc w:val="both"/>
        <w:rPr>
          <w:rFonts w:ascii="Times New Roman" w:eastAsia="Times New Roman" w:hAnsi="Times New Roman" w:cs="Times New Roman"/>
          <w:b/>
          <w:bCs/>
          <w:color w:val="262626"/>
          <w:sz w:val="28"/>
          <w:szCs w:val="28"/>
          <w:shd w:val="clear" w:color="auto" w:fill="FFFFFF"/>
          <w:lang w:val="ro-MD" w:eastAsia="ru-RU"/>
        </w:rPr>
      </w:pPr>
    </w:p>
    <w:p w:rsidR="00025693" w:rsidRPr="00025693" w:rsidRDefault="00025693" w:rsidP="00025693">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b/>
          <w:bCs/>
          <w:color w:val="262626"/>
          <w:sz w:val="28"/>
          <w:szCs w:val="28"/>
          <w:shd w:val="clear" w:color="auto" w:fill="FFFFFF"/>
          <w:lang w:val="ro-MD" w:eastAsia="ru-RU"/>
        </w:rPr>
        <w:t>Nr. 205. Chișinău, 6 decembrie 2021.</w:t>
      </w:r>
    </w:p>
    <w:p w:rsidR="00025693" w:rsidRPr="00025693" w:rsidRDefault="00025693" w:rsidP="00025693">
      <w:pPr>
        <w:spacing w:after="0" w:line="240" w:lineRule="auto"/>
        <w:ind w:firstLine="709"/>
        <w:jc w:val="both"/>
        <w:rPr>
          <w:rFonts w:ascii="Times New Roman" w:eastAsia="Times New Roman" w:hAnsi="Times New Roman" w:cs="Times New Roman"/>
          <w:color w:val="333333"/>
          <w:sz w:val="28"/>
          <w:szCs w:val="28"/>
          <w:shd w:val="clear" w:color="auto" w:fill="FFFFFF"/>
          <w:lang w:val="ro-MD" w:eastAsia="ru-RU"/>
        </w:rPr>
      </w:pPr>
      <w:r w:rsidRPr="00025693">
        <w:rPr>
          <w:rFonts w:ascii="Times New Roman" w:eastAsia="Times New Roman" w:hAnsi="Times New Roman" w:cs="Times New Roman"/>
          <w:color w:val="333333"/>
          <w:sz w:val="28"/>
          <w:szCs w:val="28"/>
          <w:shd w:val="clear" w:color="auto" w:fill="FFFFFF"/>
          <w:lang w:val="ro-MD" w:eastAsia="ru-RU"/>
        </w:rPr>
        <w:t> </w:t>
      </w:r>
    </w:p>
    <w:p w:rsidR="00054605" w:rsidRPr="00025693" w:rsidRDefault="00025693">
      <w:pPr>
        <w:rPr>
          <w:rFonts w:ascii="Times New Roman" w:hAnsi="Times New Roman" w:cs="Times New Roman"/>
          <w:sz w:val="28"/>
          <w:szCs w:val="28"/>
          <w:lang w:val="ro-MD"/>
        </w:rPr>
      </w:pPr>
      <w:bookmarkStart w:id="0" w:name="_GoBack"/>
      <w:bookmarkEnd w:id="0"/>
    </w:p>
    <w:sectPr w:rsidR="00054605" w:rsidRPr="00025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93"/>
    <w:rsid w:val="00025693"/>
    <w:rsid w:val="00E01329"/>
    <w:rsid w:val="00FD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8AC3"/>
  <w15:chartTrackingRefBased/>
  <w15:docId w15:val="{7A5E31B6-A264-46CF-ADB7-FFAD910A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569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5693"/>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025693"/>
    <w:rPr>
      <w:b/>
      <w:bCs/>
    </w:rPr>
  </w:style>
  <w:style w:type="paragraph" w:styleId="NormalWeb">
    <w:name w:val="Normal (Web)"/>
    <w:basedOn w:val="Normal"/>
    <w:uiPriority w:val="99"/>
    <w:semiHidden/>
    <w:unhideWhenUsed/>
    <w:rsid w:val="000256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025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496">
      <w:bodyDiv w:val="1"/>
      <w:marLeft w:val="0"/>
      <w:marRight w:val="0"/>
      <w:marTop w:val="0"/>
      <w:marBottom w:val="0"/>
      <w:divBdr>
        <w:top w:val="none" w:sz="0" w:space="0" w:color="auto"/>
        <w:left w:val="none" w:sz="0" w:space="0" w:color="auto"/>
        <w:bottom w:val="none" w:sz="0" w:space="0" w:color="auto"/>
        <w:right w:val="none" w:sz="0" w:space="0" w:color="auto"/>
      </w:divBdr>
      <w:divsChild>
        <w:div w:id="103719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60017057-F7E5-41AE-947F-9850F4181BC2}"/>
</file>

<file path=customXml/itemProps2.xml><?xml version="1.0" encoding="utf-8"?>
<ds:datastoreItem xmlns:ds="http://schemas.openxmlformats.org/officeDocument/2006/customXml" ds:itemID="{25F9EA24-8695-441C-BB26-D6C48CC0E3A6}"/>
</file>

<file path=customXml/itemProps3.xml><?xml version="1.0" encoding="utf-8"?>
<ds:datastoreItem xmlns:ds="http://schemas.openxmlformats.org/officeDocument/2006/customXml" ds:itemID="{F4A11054-293E-4627-AD7B-E420B01ADB44}"/>
</file>

<file path=docProps/app.xml><?xml version="1.0" encoding="utf-8"?>
<Properties xmlns="http://schemas.openxmlformats.org/officeDocument/2006/extended-properties" xmlns:vt="http://schemas.openxmlformats.org/officeDocument/2006/docPropsVTypes">
  <Template>Normal</Template>
  <TotalTime>3</TotalTime>
  <Pages>9</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Chirila</dc:creator>
  <cp:keywords/>
  <dc:description/>
  <cp:lastModifiedBy>Veronica, Chirila</cp:lastModifiedBy>
  <cp:revision>1</cp:revision>
  <dcterms:created xsi:type="dcterms:W3CDTF">2021-12-27T11:29:00Z</dcterms:created>
  <dcterms:modified xsi:type="dcterms:W3CDTF">2021-12-27T11:32:00Z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