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D97A6" w14:textId="77777777" w:rsidR="00EE5309" w:rsidRDefault="00C75323">
      <w:pPr>
        <w:spacing w:line="360" w:lineRule="auto"/>
        <w:jc w:val="center"/>
        <w:rPr>
          <w:rFonts w:ascii="黑体" w:eastAsia="黑体" w:hAnsi="黑体" w:hint="eastAsia"/>
          <w:b/>
          <w:color w:val="000000"/>
          <w:sz w:val="36"/>
          <w:szCs w:val="36"/>
        </w:rPr>
      </w:pPr>
      <w:r>
        <w:rPr>
          <w:noProof/>
          <w:color w:val="000000"/>
        </w:rPr>
        <w:drawing>
          <wp:inline distT="0" distB="0" distL="0" distR="0" wp14:anchorId="0D8A2BE7" wp14:editId="08C2F8DD">
            <wp:extent cx="2809240" cy="2472690"/>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809240" cy="2472690"/>
                    </a:xfrm>
                    <a:prstGeom prst="rect">
                      <a:avLst/>
                    </a:prstGeom>
                    <a:noFill/>
                    <a:ln>
                      <a:noFill/>
                    </a:ln>
                  </pic:spPr>
                </pic:pic>
              </a:graphicData>
            </a:graphic>
          </wp:inline>
        </w:drawing>
      </w:r>
    </w:p>
    <w:p w14:paraId="0CEF79A6" w14:textId="77777777" w:rsidR="00EE5309" w:rsidRDefault="00EE5309">
      <w:pPr>
        <w:spacing w:line="360" w:lineRule="auto"/>
        <w:jc w:val="center"/>
        <w:rPr>
          <w:rFonts w:ascii="黑体" w:eastAsia="黑体" w:hAnsi="黑体" w:hint="eastAsia"/>
          <w:color w:val="000000"/>
          <w:sz w:val="52"/>
          <w:szCs w:val="52"/>
        </w:rPr>
      </w:pPr>
    </w:p>
    <w:p w14:paraId="6A1629E4" w14:textId="77777777" w:rsidR="000745AF" w:rsidRDefault="00C75323">
      <w:pPr>
        <w:spacing w:line="360" w:lineRule="auto"/>
        <w:jc w:val="center"/>
        <w:rPr>
          <w:rFonts w:ascii="黑体" w:eastAsia="黑体" w:hAnsi="黑体" w:hint="eastAsia"/>
          <w:color w:val="000000"/>
          <w:sz w:val="52"/>
          <w:szCs w:val="52"/>
        </w:rPr>
      </w:pPr>
      <w:r>
        <w:rPr>
          <w:rFonts w:ascii="黑体" w:eastAsia="黑体" w:hAnsi="黑体" w:hint="eastAsia"/>
          <w:color w:val="000000"/>
          <w:sz w:val="52"/>
          <w:szCs w:val="52"/>
        </w:rPr>
        <w:t>《</w:t>
      </w:r>
      <w:r w:rsidR="000745AF">
        <w:rPr>
          <w:rFonts w:ascii="黑体" w:eastAsia="黑体" w:hAnsi="黑体" w:hint="eastAsia"/>
          <w:color w:val="000000"/>
          <w:sz w:val="52"/>
          <w:szCs w:val="52"/>
        </w:rPr>
        <w:t>现代交通运输系统智能优化实训</w:t>
      </w:r>
      <w:r>
        <w:rPr>
          <w:rFonts w:ascii="黑体" w:eastAsia="黑体" w:hAnsi="黑体" w:hint="eastAsia"/>
          <w:color w:val="000000"/>
          <w:sz w:val="52"/>
          <w:szCs w:val="52"/>
        </w:rPr>
        <w:t>》</w:t>
      </w:r>
    </w:p>
    <w:p w14:paraId="5A1A8D93" w14:textId="6F520384" w:rsidR="00EE5309" w:rsidRDefault="00EE5309">
      <w:pPr>
        <w:spacing w:line="360" w:lineRule="auto"/>
        <w:jc w:val="center"/>
        <w:rPr>
          <w:rFonts w:ascii="黑体" w:eastAsia="黑体" w:hAnsi="黑体" w:hint="eastAsia"/>
          <w:color w:val="000000"/>
          <w:sz w:val="52"/>
          <w:szCs w:val="52"/>
        </w:rPr>
      </w:pPr>
    </w:p>
    <w:p w14:paraId="47B62A0D" w14:textId="385DCA2D" w:rsidR="00EE5309" w:rsidRDefault="00C75323">
      <w:pPr>
        <w:spacing w:line="700" w:lineRule="exact"/>
        <w:ind w:right="-9"/>
        <w:jc w:val="center"/>
        <w:rPr>
          <w:b/>
          <w:color w:val="000000"/>
          <w:sz w:val="32"/>
          <w:u w:val="single"/>
        </w:rPr>
      </w:pPr>
      <w:r>
        <w:rPr>
          <w:rFonts w:ascii="黑体" w:eastAsia="黑体" w:hAnsi="黑体" w:hint="eastAsia"/>
          <w:color w:val="000000"/>
          <w:sz w:val="52"/>
          <w:szCs w:val="52"/>
        </w:rPr>
        <w:t>报告模板</w:t>
      </w:r>
    </w:p>
    <w:p w14:paraId="327812E9" w14:textId="77777777" w:rsidR="00EE5309" w:rsidRDefault="00EE5309">
      <w:pPr>
        <w:spacing w:line="700" w:lineRule="exact"/>
        <w:ind w:right="-9"/>
        <w:jc w:val="center"/>
        <w:rPr>
          <w:b/>
          <w:color w:val="000000"/>
          <w:sz w:val="32"/>
          <w:u w:val="single"/>
        </w:rPr>
      </w:pPr>
    </w:p>
    <w:p w14:paraId="437A347C" w14:textId="77777777" w:rsidR="00EE5309" w:rsidRDefault="00EE5309">
      <w:pPr>
        <w:spacing w:line="700" w:lineRule="exact"/>
        <w:ind w:right="-9"/>
        <w:jc w:val="center"/>
        <w:rPr>
          <w:b/>
          <w:color w:val="000000"/>
          <w:sz w:val="32"/>
          <w:u w:val="single"/>
        </w:rPr>
      </w:pPr>
    </w:p>
    <w:p w14:paraId="423C4998" w14:textId="77777777" w:rsidR="00EE5309" w:rsidRDefault="00EE5309">
      <w:pPr>
        <w:spacing w:line="700" w:lineRule="exact"/>
        <w:ind w:right="-9"/>
        <w:jc w:val="center"/>
        <w:rPr>
          <w:b/>
          <w:color w:val="000000"/>
          <w:sz w:val="32"/>
          <w:u w:val="single"/>
        </w:rPr>
      </w:pPr>
    </w:p>
    <w:p w14:paraId="1DE0302D" w14:textId="77777777" w:rsidR="00EE5309" w:rsidRDefault="00EE5309">
      <w:pPr>
        <w:spacing w:line="700" w:lineRule="exact"/>
        <w:ind w:right="-9"/>
        <w:jc w:val="center"/>
        <w:rPr>
          <w:b/>
          <w:color w:val="000000"/>
          <w:sz w:val="32"/>
          <w:u w:val="single"/>
        </w:rPr>
      </w:pPr>
    </w:p>
    <w:tbl>
      <w:tblPr>
        <w:tblW w:w="0" w:type="auto"/>
        <w:jc w:val="center"/>
        <w:tblLook w:val="04A0" w:firstRow="1" w:lastRow="0" w:firstColumn="1" w:lastColumn="0" w:noHBand="0" w:noVBand="1"/>
      </w:tblPr>
      <w:tblGrid>
        <w:gridCol w:w="3382"/>
        <w:gridCol w:w="5097"/>
      </w:tblGrid>
      <w:tr w:rsidR="00EE5309" w14:paraId="58E4FD44" w14:textId="77777777">
        <w:trPr>
          <w:trHeight w:val="781"/>
          <w:jc w:val="center"/>
        </w:trPr>
        <w:tc>
          <w:tcPr>
            <w:tcW w:w="3382" w:type="dxa"/>
            <w:tcBorders>
              <w:top w:val="single" w:sz="4" w:space="0" w:color="000000"/>
              <w:left w:val="single" w:sz="4" w:space="0" w:color="000000"/>
              <w:bottom w:val="single" w:sz="4" w:space="0" w:color="000000"/>
              <w:right w:val="nil"/>
              <w:tl2br w:val="nil"/>
            </w:tcBorders>
            <w:shd w:val="clear" w:color="auto" w:fill="FFFFFF"/>
          </w:tcPr>
          <w:p w14:paraId="3CA4EDAA" w14:textId="29D5D2B7" w:rsidR="00EE5309" w:rsidRDefault="00C75323">
            <w:pPr>
              <w:spacing w:line="700" w:lineRule="exact"/>
              <w:ind w:right="-9"/>
              <w:jc w:val="center"/>
              <w:rPr>
                <w:color w:val="000000"/>
                <w:sz w:val="32"/>
              </w:rPr>
            </w:pPr>
            <w:r>
              <w:rPr>
                <w:rFonts w:hint="eastAsia"/>
                <w:color w:val="000000"/>
                <w:sz w:val="32"/>
              </w:rPr>
              <w:t>题</w:t>
            </w:r>
            <w:r w:rsidR="000745AF">
              <w:rPr>
                <w:rFonts w:hint="eastAsia"/>
                <w:color w:val="000000"/>
                <w:sz w:val="32"/>
              </w:rPr>
              <w:t xml:space="preserve"> </w:t>
            </w:r>
            <w:r w:rsidR="000745AF">
              <w:rPr>
                <w:color w:val="000000"/>
                <w:sz w:val="32"/>
              </w:rPr>
              <w:t xml:space="preserve">   </w:t>
            </w:r>
            <w:r>
              <w:rPr>
                <w:rFonts w:hint="eastAsia"/>
                <w:color w:val="000000"/>
                <w:sz w:val="32"/>
              </w:rPr>
              <w:t>目：</w:t>
            </w:r>
          </w:p>
        </w:tc>
        <w:tc>
          <w:tcPr>
            <w:tcW w:w="5097" w:type="dxa"/>
            <w:tcBorders>
              <w:top w:val="single" w:sz="4" w:space="0" w:color="000000"/>
              <w:left w:val="nil"/>
              <w:bottom w:val="single" w:sz="4" w:space="0" w:color="000000"/>
              <w:right w:val="single" w:sz="4" w:space="0" w:color="000000"/>
            </w:tcBorders>
            <w:shd w:val="clear" w:color="auto" w:fill="FFFFFF"/>
          </w:tcPr>
          <w:p w14:paraId="1E3E58E5" w14:textId="0B017918" w:rsidR="00EE5309" w:rsidRDefault="00EE5309">
            <w:pPr>
              <w:spacing w:line="700" w:lineRule="exact" w:after="40" w:before="40"/>
              <w:ind w:right="-9"/>
              <w:jc w:val="left"/>
              <w:rPr>
                <w:color w:val="000000"/>
                <w:sz w:val="32"/>
              </w:rPr>
            </w:pPr>
            <w:r/>
            <w:r>
              <w:rPr>
                <w:rFonts w:ascii="宋体" w:hAnsi="宋体"/>
                <w:rFonts w:ascii="宋体" w:hAnsi="宋体" w:eastAsia="宋体"/>
                <w:b/>
                <w:i w:val="0"/>
                <w:sz w:val="24"/>
              </w:rPr>
              <w:t>高铁快运基地选址与规模多维协同优化案例分析报告</w:t>
            </w:r>
          </w:p>
        </w:tc>
      </w:tr>
      <w:tr w:rsidR="00EE5309" w14:paraId="575F4490" w14:textId="77777777">
        <w:trPr>
          <w:trHeight w:val="578"/>
          <w:jc w:val="center"/>
        </w:trPr>
        <w:tc>
          <w:tcPr>
            <w:tcW w:w="3382" w:type="dxa"/>
            <w:tcBorders>
              <w:top w:val="single" w:sz="4" w:space="0" w:color="000000"/>
              <w:left w:val="single" w:sz="4" w:space="0" w:color="000000"/>
              <w:bottom w:val="single" w:sz="4" w:space="0" w:color="000000"/>
              <w:right w:val="nil"/>
            </w:tcBorders>
            <w:shd w:val="clear" w:color="auto" w:fill="FFFFFF"/>
          </w:tcPr>
          <w:p w14:paraId="63D4FCC2" w14:textId="77777777" w:rsidR="00EE5309" w:rsidRDefault="00C75323">
            <w:pPr>
              <w:spacing w:line="700" w:lineRule="exact"/>
              <w:ind w:right="-9"/>
              <w:jc w:val="center"/>
              <w:rPr>
                <w:color w:val="000000"/>
                <w:sz w:val="32"/>
              </w:rPr>
            </w:pPr>
            <w:r>
              <w:rPr>
                <w:rFonts w:hint="eastAsia"/>
                <w:color w:val="000000"/>
                <w:sz w:val="32"/>
              </w:rPr>
              <w:t>姓</w:t>
            </w:r>
            <w:r>
              <w:rPr>
                <w:rFonts w:hint="eastAsia"/>
                <w:color w:val="000000"/>
                <w:sz w:val="32"/>
              </w:rPr>
              <w:t xml:space="preserve"> </w:t>
            </w:r>
            <w:r>
              <w:rPr>
                <w:color w:val="000000"/>
                <w:sz w:val="32"/>
              </w:rPr>
              <w:t xml:space="preserve">   </w:t>
            </w:r>
            <w:r>
              <w:rPr>
                <w:rFonts w:hint="eastAsia"/>
                <w:color w:val="000000"/>
                <w:sz w:val="32"/>
              </w:rPr>
              <w:t>名：</w:t>
            </w:r>
          </w:p>
        </w:tc>
        <w:tc>
          <w:tcPr>
            <w:tcW w:w="5097" w:type="dxa"/>
            <w:tcBorders>
              <w:top w:val="single" w:sz="4" w:space="0" w:color="000000"/>
              <w:left w:val="nil"/>
              <w:bottom w:val="single" w:sz="4" w:space="0" w:color="000000"/>
              <w:right w:val="single" w:sz="4" w:space="0" w:color="000000"/>
            </w:tcBorders>
            <w:shd w:val="clear" w:color="auto" w:fill="FFFFFF"/>
          </w:tcPr>
          <w:p w14:paraId="7CF17D42" w14:textId="1321FE59" w:rsidR="00EE5309" w:rsidRDefault="000745AF">
            <w:pPr>
              <w:spacing w:line="700" w:lineRule="exact" w:after="40" w:before="40"/>
              <w:ind w:right="-9"/>
              <w:jc w:val="left"/>
              <w:rPr>
                <w:color w:val="000000"/>
                <w:sz w:val="32"/>
              </w:rPr>
            </w:pPr>
            <w:r/>
            <w:r>
              <w:rPr>
                <w:rFonts w:ascii="宋体" w:hAnsi="宋体"/>
                <w:rFonts w:ascii="宋体" w:hAnsi="宋体" w:eastAsia="宋体"/>
                <w:b/>
                <w:i w:val="0"/>
                <w:sz w:val="24"/>
              </w:rPr>
              <w:t>胡鹏禹</w:t>
            </w:r>
          </w:p>
        </w:tc>
      </w:tr>
      <w:tr w:rsidR="00EE5309" w14:paraId="48F7A654" w14:textId="77777777">
        <w:trPr>
          <w:trHeight w:val="578"/>
          <w:jc w:val="center"/>
        </w:trPr>
        <w:tc>
          <w:tcPr>
            <w:tcW w:w="3382" w:type="dxa"/>
            <w:tcBorders>
              <w:top w:val="single" w:sz="4" w:space="0" w:color="000000"/>
              <w:left w:val="single" w:sz="4" w:space="0" w:color="000000"/>
              <w:bottom w:val="single" w:sz="4" w:space="0" w:color="000000"/>
              <w:right w:val="nil"/>
            </w:tcBorders>
            <w:shd w:val="clear" w:color="auto" w:fill="FFFFFF"/>
          </w:tcPr>
          <w:p w14:paraId="7CD61E40" w14:textId="77777777" w:rsidR="00EE5309" w:rsidRDefault="00C75323">
            <w:pPr>
              <w:spacing w:line="700" w:lineRule="exact"/>
              <w:ind w:right="-9"/>
              <w:jc w:val="center"/>
              <w:rPr>
                <w:color w:val="000000"/>
                <w:sz w:val="32"/>
              </w:rPr>
            </w:pPr>
            <w:r>
              <w:rPr>
                <w:rFonts w:hint="eastAsia"/>
                <w:color w:val="000000"/>
                <w:sz w:val="32"/>
              </w:rPr>
              <w:t>学</w:t>
            </w:r>
            <w:r>
              <w:rPr>
                <w:rFonts w:hint="eastAsia"/>
                <w:color w:val="000000"/>
                <w:sz w:val="32"/>
              </w:rPr>
              <w:t xml:space="preserve"> </w:t>
            </w:r>
            <w:r>
              <w:rPr>
                <w:color w:val="000000"/>
                <w:sz w:val="32"/>
              </w:rPr>
              <w:t xml:space="preserve">   </w:t>
            </w:r>
            <w:r>
              <w:rPr>
                <w:rFonts w:hint="eastAsia"/>
                <w:color w:val="000000"/>
                <w:sz w:val="32"/>
              </w:rPr>
              <w:t>号：</w:t>
            </w:r>
          </w:p>
        </w:tc>
        <w:tc>
          <w:tcPr>
            <w:tcW w:w="5097" w:type="dxa"/>
            <w:tcBorders>
              <w:top w:val="single" w:sz="4" w:space="0" w:color="000000"/>
              <w:left w:val="nil"/>
              <w:bottom w:val="single" w:sz="4" w:space="0" w:color="000000"/>
              <w:right w:val="single" w:sz="4" w:space="0" w:color="000000"/>
            </w:tcBorders>
            <w:shd w:val="clear" w:color="auto" w:fill="FFFFFF"/>
          </w:tcPr>
          <w:p w14:paraId="3D538A91" w14:textId="77777777" w:rsidR="00EE5309" w:rsidRDefault="00EE5309">
            <w:pPr>
              <w:spacing w:line="700" w:lineRule="exact" w:after="40" w:before="40"/>
              <w:ind w:right="-9"/>
              <w:jc w:val="left"/>
              <w:rPr>
                <w:color w:val="000000"/>
                <w:sz w:val="32"/>
              </w:rPr>
            </w:pPr>
            <w:r/>
            <w:r>
              <w:rPr>
                <w:rFonts w:ascii="宋体" w:hAnsi="宋体"/>
                <w:rFonts w:ascii="宋体" w:hAnsi="宋体" w:eastAsia="宋体"/>
                <w:b/>
                <w:i w:val="0"/>
                <w:sz w:val="24"/>
              </w:rPr>
              <w:t>20260601001</w:t>
            </w:r>
          </w:p>
        </w:tc>
      </w:tr>
      <w:tr w:rsidR="00EE5309" w14:paraId="20034062" w14:textId="77777777">
        <w:trPr>
          <w:trHeight w:val="586"/>
          <w:jc w:val="center"/>
        </w:trPr>
        <w:tc>
          <w:tcPr>
            <w:tcW w:w="3382" w:type="dxa"/>
            <w:tcBorders>
              <w:top w:val="single" w:sz="4" w:space="0" w:color="000000"/>
              <w:left w:val="single" w:sz="4" w:space="0" w:color="000000"/>
              <w:bottom w:val="single" w:sz="4" w:space="0" w:color="000000"/>
              <w:right w:val="nil"/>
            </w:tcBorders>
            <w:shd w:val="clear" w:color="auto" w:fill="FFFFFF"/>
          </w:tcPr>
          <w:p w14:paraId="5FB4D38F" w14:textId="77777777" w:rsidR="00EE5309" w:rsidRDefault="00C75323">
            <w:pPr>
              <w:spacing w:line="700" w:lineRule="exact"/>
              <w:ind w:right="-9"/>
              <w:jc w:val="center"/>
              <w:rPr>
                <w:color w:val="000000"/>
                <w:sz w:val="32"/>
              </w:rPr>
            </w:pPr>
            <w:r>
              <w:rPr>
                <w:rFonts w:hint="eastAsia"/>
                <w:color w:val="000000"/>
                <w:sz w:val="32"/>
              </w:rPr>
              <w:t>日</w:t>
            </w:r>
            <w:r>
              <w:rPr>
                <w:rFonts w:hint="eastAsia"/>
                <w:color w:val="000000"/>
                <w:sz w:val="32"/>
              </w:rPr>
              <w:t xml:space="preserve"> </w:t>
            </w:r>
            <w:r>
              <w:rPr>
                <w:color w:val="000000"/>
                <w:sz w:val="32"/>
              </w:rPr>
              <w:t xml:space="preserve">   </w:t>
            </w:r>
            <w:r>
              <w:rPr>
                <w:rFonts w:hint="eastAsia"/>
                <w:color w:val="000000"/>
                <w:sz w:val="32"/>
              </w:rPr>
              <w:t>期：</w:t>
            </w:r>
          </w:p>
        </w:tc>
        <w:tc>
          <w:tcPr>
            <w:tcW w:w="5097" w:type="dxa"/>
            <w:tcBorders>
              <w:top w:val="single" w:sz="4" w:space="0" w:color="000000"/>
              <w:left w:val="nil"/>
              <w:bottom w:val="single" w:sz="4" w:space="0" w:color="000000"/>
              <w:right w:val="single" w:sz="4" w:space="0" w:color="000000"/>
            </w:tcBorders>
            <w:shd w:val="clear" w:color="auto" w:fill="FFFFFF"/>
          </w:tcPr>
          <w:p w14:paraId="3724F622" w14:textId="77777777" w:rsidR="00EE5309" w:rsidRDefault="00EE5309">
            <w:pPr>
              <w:spacing w:line="700" w:lineRule="exact" w:after="40" w:before="40"/>
              <w:ind w:right="-9"/>
              <w:jc w:val="left"/>
              <w:rPr>
                <w:color w:val="000000"/>
                <w:sz w:val="32"/>
              </w:rPr>
            </w:pPr>
            <w:r/>
            <w:r>
              <w:rPr>
                <w:rFonts w:ascii="宋体" w:hAnsi="宋体"/>
                <w:rFonts w:ascii="宋体" w:hAnsi="宋体" w:eastAsia="宋体"/>
                <w:b/>
                <w:i w:val="0"/>
                <w:sz w:val="24"/>
              </w:rPr>
              <w:t>2026年6月1日</w:t>
            </w:r>
          </w:p>
        </w:tc>
      </w:tr>
    </w:tbl>
    <w:p w14:paraId="5028696A" w14:textId="41702284" w:rsidR="00EE5309" w:rsidRDefault="00EE5309">
      <w:pPr>
        <w:rPr>
          <w:rFonts w:ascii="微软雅黑" w:eastAsia="微软雅黑" w:hAnsi="微软雅黑" w:hint="eastAsia"/>
          <w:color w:val="000000"/>
        </w:rPr>
      </w:pPr>
    </w:p>
    <w:p w14:paraId="3960F9C6"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lastRenderedPageBreak/>
        <w:t>一、问题理解</w:t>
      </w:r>
    </w:p>
    <w:p>
      <w:pPr>
        <w:spacing w:line="300" w:lineRule="auto" w:after="120"/>
        <w:ind w:firstLine="440"/>
        <w:jc w:val="both"/>
      </w:pPr>
      <w:r>
        <w:t>随着我国高速铁路网络的逐步成网与成熟运营，以“高时效、小批量、高附加值”为特征的高铁快运业务被广泛认为是铁路运输企业进军现代物流市场、实现商业化创收的战略性增长点。传统快运依赖公路运输与航空货运，但公路面临严重的拥堵和天气干扰，而航空货运则受制于高昂的支线转运费用与气象敏感度。相较之下，高铁快运凭借其300km/h左右的平均运营时速、极佳的准点率、庞大的铁路网络物理覆盖，能够为生鲜冷链、商务快件、电子元器件等高端快运货流提供无与伦比的高品质运输保障。本案例聚焦于区域高速铁路网络环境，力图通过对选址、规模和流量分配的一体化智能协同优化，解决高铁快运基础设施建设与网络流组织的科学决策难题。</w:t>
      </w:r>
    </w:p>
    <w:p>
      <w:pPr>
        <w:spacing w:line="300" w:lineRule="auto" w:after="120"/>
        <w:ind w:firstLine="440"/>
        <w:jc w:val="both"/>
      </w:pPr>
      <w:r>
        <w:t>在实际运输组织中，高铁快运主要涵盖三种模式。捎带模式利用既有载客动车组列车的二等座预留空间或确认列车空间，其边际投资极小，不额外占用区间线路通过能力，但装载能力受限（客动捎带仅2.7吨/列，确认车8吨/列），且作业受到严格的站台乘降与客运停站时间约束（通常仅有2-4分钟），在作业效率上存在物理硬伤。货运动车组运输则是高铁快运的主干模式，其单列装载能力可达85吨，拥有极高的空间利用效率和运输连续性，但其高度依赖具备存车、分拣、到发、高效机械化装卸作业的专业快运物流基地，存在高昂的基础设施建设门槛。</w:t>
      </w:r>
    </w:p>
    <w:p>
      <w:pPr>
        <w:spacing w:line="300" w:lineRule="auto" w:after="120"/>
        <w:ind w:firstLine="440"/>
        <w:jc w:val="both"/>
      </w:pPr>
      <w:r>
        <w:t>在此背景下，高铁快运基地选址与规模优化的核心矛盾在于：如果基地建设数量过少或规模过小，虽然可以极大地规避一次性资产折旧风险与固定人工开支，但却由于处理能力的物理瓶颈而无法有效吸纳货运动车组始发、终到和中转作业需求，导致黄金OD货流的流失和潜在营业额受阻；反之，若基地建设数量过多、规模过大，则会产生高额的折旧和固有人工管理成本，一旦货运密度不足以支撑成本摊销，项目将陷入长期的亏损深渊。因此，针对长周期的运输需求预测数据，进行“轻重资产博弈”和“收益最大化”的运筹优化，是实现铁路局可持续、高质量商业化运营的核心挑战。</w:t>
      </w:r>
    </w:p>
    <w:p w14:paraId="40A84C71"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t>二、建模思路</w:t>
      </w:r>
    </w:p>
    <w:p>
      <w:pPr>
        <w:spacing w:line="300" w:lineRule="auto" w:after="120"/>
        <w:ind w:firstLine="440"/>
        <w:jc w:val="both"/>
      </w:pPr>
      <w:r>
        <w:t>为了克服高铁快运多维协同系统设计中的多重嵌套复杂度，我们设计并实施了“多阶段协同递进规划”的技术路线，具体包含以下四大求解阶段：</w:t>
      </w:r>
    </w:p>
    <w:p>
      <w:pPr>
        <w:spacing w:line="300" w:lineRule="auto" w:after="120"/>
        <w:ind w:firstLine="440"/>
        <w:jc w:val="both"/>
      </w:pPr>
      <w:r>
        <w:t>第一阶段：货流最短径路计算与无约束全有全无分配。我们首先利用 Python 中的 NetworkX 库构建覆盖 34 个车站和 44 条区间的区域高铁路网有权无向图。使用经典的 Dijkstra 算法计算出 15 个核心快运站点两两之间共 190 个有效 OD 的物理最短路径与运输距离。在完全不考虑能力限制的理想假设下，将每日 1908.4 吨的总快运需求按照最短路径进行“全有全无”（All-or-Nothing）分配，统计出全路网各个区段的有向断面货流量，校验在极限状态下区间线路能力的负荷率，分析是否存在路网通过能力瓶颈。</w:t>
      </w:r>
    </w:p>
    <w:p>
      <w:pPr>
        <w:spacing w:line="300" w:lineRule="auto" w:after="120"/>
        <w:ind w:firstLine="440"/>
        <w:jc w:val="both"/>
      </w:pPr>
      <w:r>
        <w:t>第二阶段：能力约束下的最小费用最大流（MCMF）分配建模。考虑到物理网络容量的客观制约，我们将问题抽象为连续网络流分配模型。不仅对区间线路段的货运动车组日开行上限进行限制（8列/日 × 85吨 = 680 吨/日），同时将车站节点捎带业务的能力上限（6列/日 × 8吨 = 48 吨/日/站）纳入模型中。我们建立以“最大化全网总承运货量”为首要目标、以“最小化总运行及装卸变动费”为次要目标的二阶段优化模型，并通过大M法将其合并为单一线性规划，应用 Gurobi 求解器求出在路网瓶颈条件下的快运承载极限与最优多式联运分担比率。</w:t>
      </w:r>
    </w:p>
    <w:p>
      <w:pPr>
        <w:spacing w:line="300" w:lineRule="auto" w:after="120"/>
        <w:ind w:firstLine="440"/>
        <w:jc w:val="both"/>
      </w:pPr>
      <w:r>
        <w:t>第三阶段：混合整数规划（MIP）基地选址与多维规模协同优化决策（核心模型）。我们放宽了基地位置和规模固定的前置条件。引入 0-1 二值决策变量来刻画 12 个候选站点的基地建库决策，以及每个基地对应的 4 类（改建小、新建小、新建中、新建大）不同规模层级的投资选项。我们以铁路货运部门“每日运营净收益（运输收入 - 一次性折旧 - 年固定人工折旧 - 基地可变操作 - 货动区间运行 - 各类装卸及中转费）最大化”为目标函数，建立了高维混合整数线性规划模型，由模型基于运筹学算法自动在 12 个候选站点中决策出最科学的选址和最具商业性价比的规模层级，并同时内嵌优化出最佳的流分配路由设计。</w:t>
      </w:r>
    </w:p>
    <w:p>
      <w:pPr>
        <w:spacing w:line="300" w:lineRule="auto" w:after="120"/>
        <w:ind w:firstLine="440"/>
        <w:jc w:val="both"/>
      </w:pPr>
      <w:r>
        <w:t>第四阶段：基于流向结果的开行方案路径拆解。基于第三阶段 MIP 模型中求解出的最优“区间流”与“捎带流”实际数值，我们使用基于贪心算法的流量路径拆解程序，将各区段的弧流量拆解并拼装成货运动车组的起讫点折返路径及每日的计划开行频次，并对捎带模式按点对点方式自动分配每日的开行频次，从而形成一套落地执行的列车开行方案设计。</w:t>
      </w:r>
    </w:p>
    <w:p w14:paraId="390B0C4A" w14:textId="77777777" w:rsidR="00EE5309" w:rsidRDefault="00C75323">
      <w:pPr>
        <w:pStyle w:val="2"/>
        <w:rPr>
          <w:rFonts w:ascii="微软雅黑" w:eastAsia="微软雅黑" w:hAnsi="微软雅黑" w:hint="eastAsia"/>
          <w:color w:val="000000"/>
        </w:rPr>
      </w:pPr>
      <w:r>
        <w:rPr>
          <w:rFonts w:ascii="微软雅黑" w:eastAsia="微软雅黑" w:hAnsi="微软雅黑" w:hint="eastAsia"/>
          <w:color w:val="000000"/>
        </w:rPr>
        <w:t>三、数学模型</w:t>
      </w:r>
    </w:p>
    <w:p>
      <w:pPr>
        <w:spacing w:line="300" w:lineRule="auto" w:after="120"/>
        <w:ind w:firstLine="440"/>
        <w:jc w:val="both"/>
      </w:pPr>
      <w:r>
        <w:t>本节详细描述第三阶段的基地选址、规模多维协同决策与流量分配的 0-1 混合整数线性规划（MIP）模型。</w:t>
      </w:r>
    </w:p>
    <w:p>
      <w:pPr>
        <w:spacing w:line="300" w:lineRule="auto" w:after="120"/>
        <w:ind w:firstLine="0"/>
        <w:jc w:val="both"/>
      </w:pPr>
      <w:r>
        <w:t>1. 符号与集合定义：</w:t>
      </w:r>
    </w:p>
    <w:p>
      <w:pPr>
        <w:spacing w:line="300" w:lineRule="auto" w:after="120"/>
        <w:ind w:firstLine="240"/>
        <w:jc w:val="both"/>
      </w:pPr>
      <w:r>
        <w:t>• V: 区域高速铁路网的车站节点集合；</w:t>
      </w:r>
    </w:p>
    <w:p>
      <w:pPr>
        <w:spacing w:line="300" w:lineRule="auto" w:after="120"/>
        <w:ind w:firstLine="240"/>
        <w:jc w:val="both"/>
      </w:pPr>
      <w:r>
        <w:t>• C ⊂ V: 具备基地建设条件的备选站点集合，C = {CD, CQ, GY, WH, CS, NC, NJ, HZ, SH, ZZ, XZ, HF}；</w:t>
      </w:r>
    </w:p>
    <w:p>
      <w:pPr>
        <w:spacing w:line="300" w:lineRule="auto" w:after="120"/>
        <w:ind w:firstLine="240"/>
        <w:jc w:val="both"/>
      </w:pPr>
      <w:r>
        <w:t>• A: 路网中车站之间的有向区间弧集合，对于任意无向边 (u,v)，对应有向弧 (u,v) ∈ A 和 (v,u) ∈ A；</w:t>
      </w:r>
    </w:p>
    <w:p>
      <w:pPr>
        <w:spacing w:line="300" w:lineRule="auto" w:after="120"/>
        <w:ind w:firstLine="240"/>
        <w:jc w:val="both"/>
      </w:pPr>
      <w:r>
        <w:t>• K: 货运 OD 需求集合，对每个 k ∈ K，O(k) 表示起点，D(k) 表示终点，q_k 表示每日快运货流量上限 (t/d)；</w:t>
      </w:r>
    </w:p>
    <w:p>
      <w:pPr>
        <w:spacing w:line="300" w:lineRule="auto" w:after="120"/>
        <w:ind w:firstLine="240"/>
        <w:jc w:val="both"/>
      </w:pPr>
      <w:r>
        <w:t>• S = {0, 1, 2, 3}: 基地建设的可选规模层级，分别代表改建小规模、新建小规模、新建中规模、新建大规模。</w:t>
      </w:r>
    </w:p>
    <w:p>
      <w:pPr>
        <w:spacing w:line="300" w:lineRule="auto" w:after="120"/>
        <w:ind w:firstLine="0"/>
        <w:jc w:val="both"/>
      </w:pPr>
      <w:r>
        <w:t>2. 决策变量设计：</w:t>
      </w:r>
    </w:p>
    <w:p>
      <w:pPr>
        <w:spacing w:line="300" w:lineRule="auto" w:after="120"/>
        <w:ind w:firstLine="240"/>
        <w:jc w:val="both"/>
      </w:pPr>
      <w:r>
        <w:t>• z_is ∈ {0, 1}: 0-1变量。当在候选站点 i ∈ C 建设规模为 s ∈ S 的基地时取 1，否则取 0；</w:t>
      </w:r>
    </w:p>
    <w:p>
      <w:pPr>
        <w:spacing w:line="300" w:lineRule="auto" w:after="120"/>
        <w:ind w:firstLine="240"/>
        <w:jc w:val="both"/>
      </w:pPr>
      <w:r>
        <w:t>• w_i ∈ {0, 1}: 0-1变量。表示候选站点 i ∈ C 是否开放基地。w_i = ∑(s ∈ S) z_is；</w:t>
      </w:r>
    </w:p>
    <w:p>
      <w:pPr>
        <w:spacing w:line="300" w:lineRule="auto" w:after="120"/>
        <w:ind w:firstLine="240"/>
        <w:jc w:val="both"/>
      </w:pPr>
      <w:r>
        <w:t>• sat_k ≥ 0: 连续变量。OD 商品 k 实际被承运满足的货运流量 (t/d)；</w:t>
      </w:r>
    </w:p>
    <w:p>
      <w:pPr>
        <w:spacing w:line="300" w:lineRule="auto" w:after="120"/>
        <w:ind w:firstLine="240"/>
        <w:jc w:val="both"/>
      </w:pPr>
      <w:r>
        <w:t>• x^k_uv ≥ 0: 连续变量。商品 k 通过货运动车组承运并在有向弧 (u,v) ∈ A 上分配的货流量 (t/d)；</w:t>
      </w:r>
    </w:p>
    <w:p>
      <w:pPr>
        <w:spacing w:line="300" w:lineRule="auto" w:after="120"/>
        <w:ind w:firstLine="240"/>
        <w:jc w:val="both"/>
      </w:pPr>
      <w:r>
        <w:t>• y^k_ij ≥ 0: 连续变量。商品 k 通过捎带模式在站点 i 和 j 之间直接承运的货流量 (t/d)；</w:t>
      </w:r>
    </w:p>
    <w:p>
      <w:pPr>
        <w:spacing w:line="300" w:lineRule="auto" w:after="120"/>
        <w:ind w:firstLine="240"/>
        <w:jc w:val="both"/>
      </w:pPr>
      <w:r>
        <w:t>• lx^k_i, ux^k_i ≥ 0: 连续变量。商品 k 在站点 i 上进行货运动车组的装车量、卸车量 (t/d)；</w:t>
      </w:r>
    </w:p>
    <w:p>
      <w:pPr>
        <w:spacing w:line="300" w:lineRule="auto" w:after="120"/>
        <w:ind w:firstLine="240"/>
        <w:jc w:val="both"/>
      </w:pPr>
      <w:r>
        <w:t>• ly^k_i, uy^k_i ≥ 0: 连续变量。商品 k 在站点 i 上进行捎带列车的装车量、卸车量 (t/d)；</w:t>
      </w:r>
    </w:p>
    <w:p>
      <w:pPr>
        <w:spacing w:line="300" w:lineRule="auto" w:after="120"/>
        <w:ind w:firstLine="240"/>
        <w:jc w:val="both"/>
      </w:pPr>
      <w:r>
        <w:t>• trans^k_i ≥ 0: 连续变量。商品 k 在基地站点 i 上进行的中转作业货流量 (t/d)。</w:t>
      </w:r>
    </w:p>
    <w:p>
      <w:pPr>
        <w:spacing w:line="300" w:lineRule="auto" w:after="120"/>
        <w:ind w:firstLine="0"/>
        <w:jc w:val="both"/>
      </w:pPr>
      <w:r>
        <w:t>3. 目标函数：最大化日均系统净收益 Z</w:t>
      </w:r>
    </w:p>
    <w:p>
      <w:pPr>
        <w:spacing w:line="300" w:lineRule="auto" w:after="120"/>
        <w:ind w:firstLine="400"/>
        <w:jc w:val="both"/>
      </w:pPr>
      <w:r>
        <w:rPr>
          <w:rFonts w:ascii="Times New Roman" w:hAnsi="Times New Roman"/>
          <w:i/>
        </w:rPr>
        <w:t>\[\max\; Z = \sum_{k \in K}\Big(p^{\text{emu}}\cdot d_{OD_k}\cdot ux^k_{D(k)}+p^{\text{piggy}}\cdot d_{OD_k}\cdot uy^k_{D(k)}\Big)\]</w:t>
        <w:br/>
        <w:t>\[-\Big\{\sum_{i\in C}\sum_{s\in S}\big(\frac{C_s^{\text{build}}}{20\times365}+\frac{C_s^{\text{labor}}}{365}\big)\cdot z_{is}\]</w:t>
        <w:br/>
        <w:t>\[+\sum_{i\in V}\sum_{k\in K}C^{\text{emu\_process}}\cdot(\ell x_i^k+ux_i^k)\]</w:t>
        <w:br/>
        <w:t>\[+\sum_{(u,v)\in A}\frac{50000+116.6\cdot d_{uv}}{85}\cdot\sum_{k\in K}x_{uv}^k\]</w:t>
        <w:br/>
        <w:t>\[+\sum_{i\in V}\sum_{k\in K}\big(144\cdot\ell x_i^k+120\cdot\ell y_i^k+2.52\cdot\text{trans}_i^k\big)\Big\}\]</w:t>
      </w:r>
    </w:p>
    <w:p>
      <w:pPr>
        <w:spacing w:line="300" w:lineRule="auto" w:after="120"/>
        <w:ind w:firstLine="0"/>
        <w:jc w:val="both"/>
      </w:pPr>
      <w:r>
        <w:t>其中，各成本项定义如下：</w:t>
      </w:r>
    </w:p>
    <w:p>
      <w:pPr>
        <w:spacing w:line="300" w:lineRule="auto" w:after="120"/>
        <w:ind w:firstLine="240"/>
        <w:jc w:val="both"/>
      </w:pPr>
      <w:r>
        <w:t>1) 建设折旧与固定人工折旧成本：由 z_is 变量和参数表折算得到；</w:t>
      </w:r>
    </w:p>
    <w:p>
      <w:pPr>
        <w:spacing w:line="300" w:lineRule="auto" w:after="120"/>
        <w:ind w:firstLine="240"/>
        <w:jc w:val="both"/>
      </w:pPr>
      <w:r>
        <w:t>2) 基地管理与人工变动成本：按货运动车组单列折价 (22000元/85t) 乘以装卸量计算；</w:t>
      </w:r>
    </w:p>
    <w:p>
      <w:pPr>
        <w:spacing w:line="300" w:lineRule="auto" w:after="120"/>
        <w:ind w:firstLine="240"/>
        <w:jc w:val="both"/>
      </w:pPr>
      <w:r>
        <w:t>3) 列车区间运行费用：基于货运动车组单向运行固定费(50000元)和变动费(116.6元/km)折算到单位吨公里上；</w:t>
      </w:r>
    </w:p>
    <w:p>
      <w:pPr>
        <w:spacing w:line="300" w:lineRule="auto" w:after="120"/>
        <w:ind w:firstLine="240"/>
        <w:jc w:val="both"/>
      </w:pPr>
      <w:r>
        <w:t>4) 货物装卸及中转操作费：货动装载(144元/t)，捎带装载(120元/t)，基地中转(2.52元/t)。</w:t>
      </w:r>
    </w:p>
    <w:p>
      <w:pPr>
        <w:spacing w:line="300" w:lineRule="auto" w:after="120"/>
        <w:ind w:firstLine="0"/>
        <w:jc w:val="both"/>
      </w:pPr>
      <w:r>
        <w:t>4. 核心约束条件：</w:t>
      </w:r>
    </w:p>
    <w:p>
      <w:pPr>
        <w:spacing w:line="300" w:lineRule="auto" w:after="120"/>
        <w:ind w:firstLine="240"/>
        <w:jc w:val="both"/>
      </w:pPr>
      <w:r>
        <w:t>1) 商品流流量守恒约束（分别对货动流和捎带流满足出入度关系）：</w:t>
      </w:r>
    </w:p>
    <w:p>
      <w:pPr>
        <w:spacing w:line="300" w:lineRule="auto" w:after="120"/>
        <w:ind w:firstLine="400"/>
        <w:jc w:val="both"/>
      </w:pPr>
      <w:r>
        <w:rPr>
          <w:rFonts w:ascii="Times New Roman" w:hAnsi="Times New Roman"/>
        </w:rPr>
        <w:t>\[\sum_{j\in N(i)} x_{ij}^k - \sum_{j\in N(i)} x_{ji}^k = \ell x_i^k - ux_i^k,\quad \forall i\in V,\forall k\in K\]</w:t>
        <w:br/>
        <w:t>\[(\ell x_i^k + \ell y_i^k) - (ux_i^k + uy_i^k) = \begin{cases}\text{sat}_k &amp; i=O(k)\\ -\text{sat}_k &amp; i=D(k)\\ 0 &amp; \text{其他}\end{cases},\quad \forall i\in V,\forall k\in K\]</w:t>
      </w:r>
    </w:p>
    <w:p>
      <w:pPr>
        <w:spacing w:line="300" w:lineRule="auto" w:after="120"/>
        <w:ind w:firstLine="240"/>
        <w:jc w:val="both"/>
      </w:pPr>
      <w:r>
        <w:t>2) 基地规模唯一性选择与中转使能约束（未建基地禁止中转和货动装卸）：</w:t>
      </w:r>
    </w:p>
    <w:p>
      <w:pPr>
        <w:spacing w:line="300" w:lineRule="auto" w:after="120"/>
        <w:ind w:firstLine="400"/>
        <w:jc w:val="both"/>
      </w:pPr>
      <w:r>
        <w:rPr>
          <w:rFonts w:ascii="Times New Roman" w:hAnsi="Times New Roman"/>
        </w:rPr>
        <w:t>\[\sum_{s\in S} z_{is} \leq 1,\quad \forall i\in C\]</w:t>
        <w:br/>
        <w:t>\[\text{trans}_i^k \leq M \cdot w_i,\quad \forall i\in C\]</w:t>
        <w:br/>
        <w:t>\[\sum_{k\in K}(\ell x_i^k + ux_i^k) = 0,\quad \forall i\notin C\]</w:t>
      </w:r>
    </w:p>
    <w:p>
      <w:pPr>
        <w:spacing w:line="300" w:lineRule="auto" w:after="120"/>
        <w:ind w:firstLine="240"/>
        <w:jc w:val="both"/>
      </w:pPr>
      <w:r>
        <w:t>3) 基地货动处理能力与捎带车站能力约束：</w:t>
      </w:r>
    </w:p>
    <w:p>
      <w:pPr>
        <w:spacing w:line="300" w:lineRule="auto" w:after="120"/>
        <w:ind w:firstLine="400"/>
        <w:jc w:val="both"/>
      </w:pPr>
      <w:r>
        <w:rPr>
          <w:rFonts w:ascii="Times New Roman" w:hAnsi="Times New Roman"/>
        </w:rPr>
        <w:t>\[\sum_{k\in K}(\ell x_i^k + ux_i^k) \leq \sum_{s\in S}\text{Cap}_s^{\text{emu}}\cdot 85\cdot z_{is},\quad \forall i\in C\]</w:t>
        <w:br/>
        <w:t>\[\sum_{k\in K}(\ell y_i^k + uy_i^k) \leq 6\times 8\times 2 = 96\text{ 吨/日},\quad \forall i\in V\]</w:t>
      </w:r>
    </w:p>
    <w:p>
      <w:pPr>
        <w:spacing w:line="300" w:lineRule="auto" w:after="120"/>
        <w:ind w:firstLine="240"/>
        <w:jc w:val="both"/>
      </w:pPr>
      <w:r>
        <w:t>4) 区间区间线路通过能力上限约束：</w:t>
      </w:r>
    </w:p>
    <w:p>
      <w:pPr>
        <w:spacing w:line="300" w:lineRule="auto" w:after="120"/>
        <w:ind w:firstLine="400"/>
        <w:jc w:val="both"/>
      </w:pPr>
      <w:r>
        <w:rPr>
          <w:rFonts w:ascii="Times New Roman" w:hAnsi="Times New Roman"/>
        </w:rPr>
        <w:t>\[\sum_{k\in K} x_{uv}^k \leq 8\times 85 = 680\text{ 吨/日},\quad \forall(u,v)\in A\]</w:t>
      </w:r>
    </w:p>
    <w:p>
      <w:pPr>
        <w:spacing w:line="300" w:lineRule="auto" w:after="120"/>
        <w:ind w:firstLine="440"/>
        <w:jc w:val="both"/>
      </w:pPr>
      <w:r>
        <w:t>上述模型通过将基地建设规模与底层的网络货流分配进行紧密融合，确保在能力瓶颈与资本约束的双重空间内检索出全局利润最丰厚的规划方案。</w:t>
      </w:r>
    </w:p>
    <w:p w14:paraId="45D2528A" w14:textId="4A3D91AD" w:rsidR="000745AF" w:rsidRDefault="000745AF" w:rsidP="000745AF">
      <w:pPr>
        <w:pStyle w:val="2"/>
        <w:rPr>
          <w:rFonts w:ascii="微软雅黑" w:eastAsia="微软雅黑" w:hAnsi="微软雅黑" w:hint="eastAsia"/>
          <w:color w:val="000000"/>
        </w:rPr>
      </w:pPr>
      <w:r>
        <w:rPr>
          <w:rFonts w:ascii="微软雅黑" w:eastAsia="微软雅黑" w:hAnsi="微软雅黑" w:hint="eastAsia"/>
          <w:color w:val="000000"/>
        </w:rPr>
        <w:t>四、数据分析</w:t>
      </w:r>
    </w:p>
    <w:p>
      <w:pPr>
        <w:spacing w:line="300" w:lineRule="auto" w:after="120"/>
        <w:ind w:firstLine="440"/>
        <w:jc w:val="both"/>
      </w:pPr>
      <w:r>
        <w:t>在进行模型计算前，我们对输入的物理高铁路网结构和每日的快运 OD 货流数据进行了详尽的归纳统计。区域网络包含 34 个车站和 44 条有向双向区间轨道线路。预测年度内全路网快运总需求为 1908.4 吨/日，主要流向高度集中于“上海 - 武汉 - 长沙 - 成都 - 重庆”组成的长江黄金物流通道。特别是由上海发往成都（66.3t/d）、成都发往上海（66.3t/d）、上海发往武汉（64.3t/d）、武汉发往上海（64.3t/d）四条干线需求，其运量之和构成了全网需求的核心支柱。</w:t>
      </w:r>
    </w:p>
    <w:p>
      <w:pPr>
        <w:spacing w:line="300" w:lineRule="auto" w:after="120"/>
        <w:ind w:firstLine="440"/>
        <w:jc w:val="both"/>
      </w:pPr>
      <w:r>
        <w:t>为了科学衡量各基地的处理能力与每日均摊的财务成本，我们将不同建设规模方案的各项参数汇总编制如下表 4-1 所示。其中折旧部分按照一次性基建投资 20 年均摊到每日（年以 365 天计）进行折算：</w:t>
      </w:r>
    </w:p>
    <w:tbl>
      <w:tblPr>
        <w:tblW w:type="auto" w:w="0"/>
        <w:jc w:val="center"/>
        <w:tblLook w:firstColumn="1" w:firstRow="1" w:lastColumn="0" w:lastRow="0" w:noHBand="0" w:noVBand="1" w:val="04A0"/>
      </w:tblPr>
      <w:tblGrid>
        <w:gridCol w:w="1624"/>
        <w:gridCol w:w="1624"/>
        <w:gridCol w:w="1624"/>
        <w:gridCol w:w="1624"/>
        <w:gridCol w:w="1624"/>
        <w:gridCol w:w="1624"/>
      </w:tblGrid>
      <w:tr>
        <w:trPr>
          <w:cantSplit/>
          <w:tblHeader/>
        </w:trPr>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规模编号</w:t>
            </w:r>
          </w:p>
        </w:tc>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规模名称</w:t>
            </w:r>
          </w:p>
        </w:tc>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货运动车组处理上限</w:t>
            </w:r>
          </w:p>
        </w:tc>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捎带处理上限</w:t>
            </w:r>
          </w:p>
        </w:tc>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建设成本(折合日均)</w:t>
            </w:r>
          </w:p>
        </w:tc>
        <w:tc>
          <w:tcPr>
            <w:tcW w:type="dxa" w:w="1624"/>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年固定人工(折合日均)</w:t>
            </w:r>
          </w:p>
        </w:tc>
      </w:tr>
      <w:tr>
        <w:trPr>
          <w:cantSplit/>
        </w:trPr>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1列/日 (85吨)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6列/日 (48吨)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0.768亿元 (10520.5元/日)</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12万元/年 (328.8元/日)</w:t>
            </w:r>
          </w:p>
        </w:tc>
      </w:tr>
      <w:tr>
        <w:trPr>
          <w:cantSplit/>
        </w:trPr>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新建小规模</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4列/日 (340吨)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6列/日 (48吨)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5.760亿元 (78904.1元/日)</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1200万元/年 (32876.7元/日)</w:t>
            </w:r>
          </w:p>
        </w:tc>
      </w:tr>
      <w:tr>
        <w:trPr>
          <w:cantSplit/>
        </w:trPr>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新建中规模</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8列/日 (680吨)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6列/日 (48吨)</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7.680亿元 (105205.5元/日)</w:t>
            </w:r>
          </w:p>
        </w:tc>
        <w:tc>
          <w:tcPr>
            <w:tcW w:type="dxa" w:w="1624"/>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2100万元/年 (57534.2元/日)</w:t>
            </w:r>
          </w:p>
        </w:tc>
      </w:tr>
      <w:tr>
        <w:trPr>
          <w:cantSplit/>
        </w:trPr>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3</w:t>
            </w:r>
          </w:p>
        </w:tc>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新建大规模</w:t>
            </w:r>
          </w:p>
        </w:tc>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10列/日 (850吨)</w:t>
            </w:r>
          </w:p>
        </w:tc>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6列/日 (48吨)</w:t>
            </w:r>
          </w:p>
        </w:tc>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9.600亿元 (131506.8元/日)</w:t>
            </w:r>
          </w:p>
        </w:tc>
        <w:tc>
          <w:tcPr>
            <w:tcW w:type="dxa" w:w="1624"/>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3000万元/年 (82191.8元/日)</w:t>
            </w:r>
          </w:p>
        </w:tc>
      </w:tr>
    </w:tbl>
    <w:p>
      <w:pPr>
        <w:spacing w:line="300" w:lineRule="auto" w:after="120"/>
        <w:ind w:firstLine="440"/>
        <w:jc w:val="both"/>
      </w:pPr>
      <w:r>
        <w:t>分析表 4-1 可以看出，从『改建小规模』到『新建小规模』，基建投资出现了断崖式的激增（由 0.768 亿元飙升至 5.76 亿元），每日摊销折旧和固有人工管理成本从 1.08 万元猛增至 11.1 万元，增长了近 10 倍，而货运吞吐能力仅提升了 4 倍。这一陡峭的固定费用曲线说明，新建基地将使项目面临极其沉重的财务摊销负担。如果货运量未能达到饱和状态，模型将极力回避任何新建站点的决策，这也是影响问题三优化选址格局的决定性参数特征。</w:t>
      </w:r>
    </w:p>
    <w:p w14:paraId="436EE789" w14:textId="28274B8D"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五</w:t>
      </w:r>
      <w:r w:rsidR="00C75323">
        <w:rPr>
          <w:rFonts w:ascii="微软雅黑" w:eastAsia="微软雅黑" w:hAnsi="微软雅黑" w:hint="eastAsia"/>
          <w:color w:val="000000"/>
        </w:rPr>
        <w:t>、代码实现</w:t>
      </w:r>
    </w:p>
    <w:p>
      <w:pPr>
        <w:spacing w:line="300" w:lineRule="auto" w:after="120"/>
        <w:ind w:firstLine="440"/>
        <w:jc w:val="both"/>
      </w:pPr>
      <w:r>
        <w:t>在系统实现阶段，我们使用 Python 3.10 构建了面向高铁路网的数据解析与决策模型。借助运筹优化库 Gurobi 12.0，我们编写了高度抽象且紧凑的混合整数规划求解程序。在编写代码时，为了应对大规模商品流（190个OD商品）所带来的决策变量爆炸问题，我们仅为拥有有效快运需求的 OD 声明流量变量，使极度稀疏的网络矩阵规模缩减了 80% 以上，保证了算法在数秒内即可收敛至全局最优解。</w:t>
      </w:r>
    </w:p>
    <w:p>
      <w:pPr>
        <w:spacing w:line="300" w:lineRule="auto" w:after="120"/>
        <w:ind w:firstLine="440"/>
        <w:jc w:val="both"/>
      </w:pPr>
      <w:r>
        <w:t>以下是我们实现问题三混合整数规划（MIP）模型中最核心的 Gurobi 约束条件构建代码片段。代码展示了基地能力上限、流量守恒以及选址唯一性决策的数学映射方法：</w:t>
      </w:r>
    </w:p>
    <w:tbl>
      <w:tblPr>
        <w:tblW w:type="auto" w:w="0"/>
        <w:jc w:val="center"/>
        <w:tblLook w:firstColumn="1" w:firstRow="1" w:lastColumn="0" w:lastRow="0" w:noHBand="0" w:noVBand="1" w:val="04A0"/>
      </w:tblPr>
      <w:tblGrid>
        <w:gridCol w:w="9746"/>
      </w:tblGrid>
      <w:tr>
        <w:tc>
          <w:tcPr>
            <w:tcW w:type="dxa" w:w="9746"/>
            <w:shd w:fill="F5F5F5"/>
          </w:tcPr>
          <w:p>
            <w:pPr>
              <w:spacing w:before="80" w:after="80"/>
            </w:pPr>
            <w:r/>
            <w:r>
              <w:rPr>
                <w:rFonts w:ascii="Courier New" w:hAnsi="Courier New"/>
                <w:rFonts w:ascii="Courier New" w:hAnsi="Courier New" w:eastAsia="Courier New"/>
                <w:b w:val="0"/>
                <w:i w:val="0"/>
                <w:sz w:val="19"/>
              </w:rPr>
              <w:t>import gurobipy as gp</w:t>
              <w:br/>
              <w:t>from gurobipy import GRB</w:t>
              <w:br/>
              <w:br/>
              <w:t># 1. 声明基地规模选择二进制变量</w:t>
              <w:br/>
              <w:t>z = model.addVars(candidates, scales, vtype=GRB.BINARY, name="z")</w:t>
              <w:br/>
              <w:br/>
              <w:t># 2. 每个候选点最多建设一种规模的基地</w:t>
              <w:br/>
              <w:t>model.addConstrs((z.sum(i, '*') &lt;= 1 for i in candidates), name="one_scale")</w:t>
              <w:br/>
              <w:br/>
              <w:t># 3. 货流决策变量与流量守恒约束 (多商品流表达)</w:t>
              <w:br/>
              <w:t>for k, row in od_list.iterrows():</w:t>
              <w:br/>
              <w:t xml:space="preserve">    sat[k] = model.addVar(lb=0, ub=row['demand_t'], vtype=GRB.CONTINUOUS, name=f"sat_{k}")</w:t>
              <w:br/>
              <w:t xml:space="preserve">    for u, v in arcs:</w:t>
              <w:br/>
              <w:t xml:space="preserve">        x[u, v, k] = model.addVar(lb=0, vtype=GRB.CONTINUOUS, name=f"x_{u}_{v}_{k}")</w:t>
              <w:br/>
              <w:t xml:space="preserve">    # 在每个中间节点和起讫点，添加货动流与捎带流的多商品流量平衡约束...</w:t>
              <w:br/>
              <w:t xml:space="preserve">    model.addConstr(out_x - in_x == load_x[i, k] - unload_x[i, k])</w:t>
              <w:br/>
              <w:t xml:space="preserve">    model.addConstr(load_x + load_y - unload_x - unload_y == net_demand)</w:t>
              <w:br/>
              <w:br/>
              <w:t># 4. 货运动车组操作上限约束 (基地处理列数容量限制)</w:t>
              <w:br/>
              <w:t>for i in candidates:</w:t>
              <w:br/>
              <w:t xml:space="preserve">    cap_expr = gp.quicksum(scale_df.loc[s, 'cap'] * 85 * z[i, s] for s in scales)</w:t>
              <w:br/>
              <w:t xml:space="preserve">    model.addConstr(total_emu_ops[i] &lt;= cap_expr, name=f"base_cap_{i}")</w:t>
            </w:r>
          </w:p>
        </w:tc>
      </w:tr>
    </w:tbl>
    <w:p>
      <w:pPr>
        <w:spacing w:line="300" w:lineRule="auto" w:after="120"/>
        <w:ind w:firstLine="440"/>
        <w:jc w:val="both"/>
      </w:pPr>
      <w:r>
        <w:t>注：为了避免大批量硬编码带来的误差，求解脚本自动通过 pandas 循环加载 CSV 格式数据，并自动建立稀疏索引。这种松耦合的系统架构使得我们可以极速调整参数（如折旧年限、列车单位运行费、费率等）并瞬间完成重新优化和图表渲染，具备出色的工程扩展性。</w:t>
      </w:r>
    </w:p>
    <w:p w14:paraId="2B975C95" w14:textId="7AEEA284"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lastRenderedPageBreak/>
        <w:t>六</w:t>
      </w:r>
      <w:r w:rsidR="00C75323">
        <w:rPr>
          <w:rFonts w:ascii="微软雅黑" w:eastAsia="微软雅黑" w:hAnsi="微软雅黑" w:hint="eastAsia"/>
          <w:color w:val="000000"/>
        </w:rPr>
        <w:t>、求解结果</w:t>
      </w:r>
    </w:p>
    <w:p>
      <w:pPr>
        <w:spacing w:line="300" w:lineRule="auto" w:after="120"/>
        <w:ind w:firstLine="0"/>
        <w:jc w:val="both"/>
      </w:pPr>
      <w:r>
        <w:rPr>
          <w:b/>
        </w:rPr>
        <w:t>一、问题一求解结果：货流最短径路与全有全无分配能力校核</w:t>
      </w:r>
    </w:p>
    <w:p>
      <w:pPr>
        <w:spacing w:line="300" w:lineRule="auto" w:after="120"/>
        <w:ind w:firstLine="440"/>
        <w:jc w:val="both"/>
      </w:pPr>
      <w:r>
        <w:t>在问题一中，假设全网快运流量全部采用货运动车组进行“全有全无”的最短路径分配。经求解分析，由于当前预测的需求尚未迎来爆发式增长，全网总需求量仅为 1908.4 吨/日，平均各个区段流量都非常低。全网最大货流断面出现在『合肥(HF) -&gt; 六安(LA)』区间段上，每日单向货流量为 535.0 吨/日。</w:t>
      </w:r>
    </w:p>
    <w:p>
      <w:pPr>
        <w:spacing w:line="300" w:lineRule="auto" w:after="120"/>
        <w:ind w:firstLine="440"/>
        <w:jc w:val="both"/>
      </w:pPr>
      <w:r>
        <w:t>根据我国铁路的区间限制，每个区间轨道段每日最多可开行 8 列货运动车组列车，其单向物理通过能力上限为 8列 × 85吨/列 = 680.0 吨/日。通过对全网络 44 条区间的所有有向断面流量进行自动遍历校核，全网没有任何一个区段的分配货流量突破 680 吨的能力瓶颈。最大瓶颈发生点（合肥-六安，535吨）的负荷率也仅为 78.7%。</w:t>
      </w:r>
    </w:p>
    <w:p>
      <w:pPr>
        <w:spacing w:line="300" w:lineRule="auto" w:after="120"/>
        <w:ind w:firstLine="440"/>
        <w:jc w:val="both"/>
      </w:pPr>
      <w:r>
        <w:t>结论：在现有高铁路网通过能力条件下，我国高速铁路干线有极大的剩余能力空间，这证明：在技术方案和装卸配套完善的前提下，铁路运输部门完全具备直接开办高铁快运业务的线路通过能力。</w:t>
      </w:r>
    </w:p>
    <w:p>
      <w:pPr>
        <w:jc w:val="center"/>
      </w:pPr>
      <w:r>
        <w:drawing>
          <wp:inline xmlns:a="http://schemas.openxmlformats.org/drawingml/2006/main" xmlns:pic="http://schemas.openxmlformats.org/drawingml/2006/picture">
            <wp:extent cx="5029200" cy="2489200"/>
            <wp:docPr id="8" name="Picture 8"/>
            <wp:cNvGraphicFramePr>
              <a:graphicFrameLocks noChangeAspect="1"/>
            </wp:cNvGraphicFramePr>
            <a:graphic>
              <a:graphicData uri="http://schemas.openxmlformats.org/drawingml/2006/picture">
                <pic:pic>
                  <pic:nvPicPr>
                    <pic:cNvPr id="0" name="section_flows.png"/>
                    <pic:cNvPicPr/>
                  </pic:nvPicPr>
                  <pic:blipFill>
                    <a:blip r:embed="rId9"/>
                    <a:stretch>
                      <a:fillRect/>
                    </a:stretch>
                  </pic:blipFill>
                  <pic:spPr>
                    <a:xfrm>
                      <a:off x="0" y="0"/>
                      <a:ext cx="5029200" cy="2489200"/>
                    </a:xfrm>
                    <a:prstGeom prst="rect"/>
                  </pic:spPr>
                </pic:pic>
              </a:graphicData>
            </a:graphic>
          </wp:inline>
        </w:drawing>
      </w:r>
    </w:p>
    <w:p>
      <w:pPr>
        <w:jc w:val="center"/>
      </w:pPr>
      <w:r>
        <w:rPr>
          <w:rFonts w:ascii="宋体" w:hAnsi="宋体"/>
          <w:rFonts w:ascii="宋体" w:hAnsi="宋体" w:eastAsia="宋体"/>
          <w:b/>
          <w:i w:val="0"/>
          <w:sz w:val="18"/>
        </w:rPr>
        <w:t>图 6-1：问题一理想最短路分配下前 10 位关键断面货流量及负荷校验图</w:t>
      </w:r>
    </w:p>
    <w:p>
      <w:pPr>
        <w:spacing w:line="300" w:lineRule="auto" w:after="120"/>
        <w:ind w:firstLine="0"/>
        <w:jc w:val="both"/>
      </w:pPr>
      <w:r>
        <w:rPr>
          <w:b/>
        </w:rPr>
        <w:t>二、问题二求解结果：能力限制下最小费用最大流（MCMF）分配格局</w:t>
      </w:r>
    </w:p>
    <w:p>
      <w:pPr>
        <w:spacing w:line="300" w:lineRule="auto" w:after="120"/>
        <w:ind w:firstLine="440"/>
        <w:jc w:val="both"/>
      </w:pPr>
      <w:r>
        <w:t>在问题二中，我们以最小费用最大流模型进行优化分配。通过 Gurobi 精确求解，在受区间通过能力和车站捎带处理限制的双重约束空间内，系统以 100.0% 的完美比例完全满足了全网 1908.4 吨/日的全部运输需求，没有造成任何吨位的货流积压。此时，系统每日的最小总运营及装卸变动费用为 6,453,039.37 元/日（约 645.3 万元/日）。</w:t>
      </w:r>
    </w:p>
    <w:p>
      <w:pPr>
        <w:spacing w:line="300" w:lineRule="auto" w:after="120"/>
        <w:ind w:firstLine="440"/>
        <w:jc w:val="both"/>
      </w:pPr>
      <w:r>
        <w:t>全网快运流量的运力承担模式产生了深刻的分化：货运动车组模式由于单列装载量大（85吨/列），构成了骨干运输格局，承运了 1212.6 吨/日的货运量（分担率 63.5%）；载客动车组及确认车捎带运输由于单站 48 吨的严格瓶颈，主要扮演了短途、零星、灵活的补白角色，承运了剩下的 695.8 吨/日货运量（分担率 36.5%）。平均吨公里运输成本约 3381 元/吨，吨均毛利约 420 元/吨。</w:t>
      </w:r>
    </w:p>
    <w:p>
      <w:pPr>
        <w:spacing w:line="300" w:lineRule="auto" w:after="120"/>
        <w:ind w:firstLine="440"/>
        <w:jc w:val="both"/>
      </w:pPr>
      <w:r>
        <w:t>我们将问题二的量化求解指标编制汇总如下表 6-1 所示：</w:t>
      </w:r>
    </w:p>
    <w:tbl>
      <w:tblPr>
        <w:tblW w:type="auto" w:w="0"/>
        <w:jc w:val="center"/>
        <w:tblLook w:firstColumn="1" w:firstRow="1" w:lastColumn="0" w:lastRow="0" w:noHBand="0" w:noVBand="1" w:val="04A0"/>
      </w:tblPr>
      <w:tblGrid>
        <w:gridCol w:w="2436"/>
        <w:gridCol w:w="2436"/>
        <w:gridCol w:w="2436"/>
        <w:gridCol w:w="2436"/>
      </w:tblGrid>
      <w:tr>
        <w:trPr>
          <w:cantSplit/>
          <w:tblHeader/>
        </w:trPr>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核心求解指标</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数值</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物理单位</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分担比例 / 备注</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预测年度全网总需求量</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1908.4</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吨/日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实际最大满足承运量</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1908.4</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吨/日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满足率达 100.0%</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最小日总运营变动成本</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6,453,039.37</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元/日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约 645.3 万元/日</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其中：货运动车组承担量</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1212.6</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吨/日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63.5% (物流骨干)</w:t>
            </w:r>
          </w:p>
        </w:tc>
      </w:tr>
      <w:tr>
        <w:trPr>
          <w:cantSplit/>
        </w:trPr>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其中：载客列车捎带承担量</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695.8</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吨/日</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36.5% (灵活补充)</w:t>
            </w:r>
          </w:p>
        </w:tc>
      </w:tr>
    </w:tbl>
    <w:p>
      <w:pPr>
        <w:jc w:val="center"/>
      </w:pPr>
      <w:r>
        <w:drawing>
          <wp:inline xmlns:a="http://schemas.openxmlformats.org/drawingml/2006/main" xmlns:pic="http://schemas.openxmlformats.org/drawingml/2006/picture">
            <wp:extent cx="3840480" cy="4077774"/>
            <wp:docPr id="9" name="Picture 9"/>
            <wp:cNvGraphicFramePr>
              <a:graphicFrameLocks noChangeAspect="1"/>
            </wp:cNvGraphicFramePr>
            <a:graphic>
              <a:graphicData uri="http://schemas.openxmlformats.org/drawingml/2006/picture">
                <pic:pic>
                  <pic:nvPicPr>
                    <pic:cNvPr id="0" name="mode_split.png"/>
                    <pic:cNvPicPr/>
                  </pic:nvPicPr>
                  <pic:blipFill>
                    <a:blip r:embed="rId10"/>
                    <a:stretch>
                      <a:fillRect/>
                    </a:stretch>
                  </pic:blipFill>
                  <pic:spPr>
                    <a:xfrm>
                      <a:off x="0" y="0"/>
                      <a:ext cx="3840480" cy="4077774"/>
                    </a:xfrm>
                    <a:prstGeom prst="rect"/>
                  </pic:spPr>
                </pic:pic>
              </a:graphicData>
            </a:graphic>
          </wp:inline>
        </w:drawing>
      </w:r>
    </w:p>
    <w:p>
      <w:pPr>
        <w:jc w:val="center"/>
      </w:pPr>
      <w:r>
        <w:rPr>
          <w:rFonts w:ascii="宋体" w:hAnsi="宋体"/>
          <w:rFonts w:ascii="宋体" w:hAnsi="宋体" w:eastAsia="宋体"/>
          <w:b/>
          <w:i w:val="0"/>
          <w:sz w:val="18"/>
        </w:rPr>
        <w:t>图 6-2：问题二模型下两种高铁快运运营模式货流量分担比例图</w:t>
      </w:r>
    </w:p>
    <w:p>
      <w:pPr>
        <w:spacing w:line="300" w:lineRule="auto" w:after="120"/>
        <w:ind w:firstLine="0"/>
        <w:jc w:val="both"/>
      </w:pPr>
      <w:r>
        <w:rPr>
          <w:b/>
        </w:rPr>
        <w:t>三、问题三求解结果：混合整数规划（MIP）选址、多维规模协同优化与收益最大化决策（重中之重）</w:t>
      </w:r>
    </w:p>
    <w:p>
      <w:pPr>
        <w:spacing w:line="300" w:lineRule="auto" w:after="120"/>
        <w:ind w:firstLine="440"/>
        <w:jc w:val="both"/>
      </w:pPr>
      <w:r>
        <w:t>在问题三中，我们引入了 12 个候选站点的建库决策和 4 种级别规模选择的 0-1 变量，建立了以系统整体商业净收益最大化为优化目标的混合整数规划模型。由 Gurobi 求解器在数秒内求出了全局最优的协同规划决策方案。</w:t>
      </w:r>
    </w:p>
    <w:p>
      <w:pPr>
        <w:spacing w:line="300" w:lineRule="auto" w:after="120"/>
        <w:ind w:firstLine="440"/>
        <w:jc w:val="both"/>
      </w:pPr>
      <w:r>
        <w:t>最优基地选址与规模设计：在 12 个备选站点中，模型精准地选择了 7 个内陆枢纽城市建设快运物流基地，分别为武汉(WH)、长沙(CS)、南昌(NC)、郑州(ZZ)、重庆(CQ)、贵阳(GY)、成都(CD)。惊人的是，所有 7 个开放基地的建设级别均一致指向了投资最轻的第一级——「改建小规模」基地（规模编号 0，仅需 0.768 亿元/站）。东部走廊城市（上海 SH、杭州 HZ、南京 NJ、合肥 HF、徐州 XZ）则完全不予以建设——这些站点通过低成本、高密度的捎带模式即可高效覆盖。</w:t>
      </w:r>
    </w:p>
    <w:p>
      <w:pPr>
        <w:spacing w:line="300" w:lineRule="auto" w:after="120"/>
        <w:ind w:firstLine="440"/>
        <w:jc w:val="both"/>
      </w:pPr>
      <w:r>
        <w:t>最优规划下系统的核心日均经济与实操指标如下：</w:t>
      </w:r>
    </w:p>
    <w:p>
      <w:pPr>
        <w:spacing w:line="300" w:lineRule="auto" w:after="120"/>
        <w:ind w:firstLine="240"/>
        <w:jc w:val="both"/>
      </w:pPr>
      <w:r>
        <w:t>• 每日最大纯净收益：2,158,940.47 元/日 (约合 215.9 万元/日)；</w:t>
      </w:r>
    </w:p>
    <w:p>
      <w:pPr>
        <w:spacing w:line="300" w:lineRule="auto" w:after="120"/>
        <w:ind w:firstLine="240"/>
        <w:jc w:val="both"/>
      </w:pPr>
      <w:r>
        <w:t>• 每日运输总收入：2,808,289.26 元/日 (约合 280.8 万元/日)；</w:t>
      </w:r>
    </w:p>
    <w:p>
      <w:pPr>
        <w:spacing w:line="300" w:lineRule="auto" w:after="120"/>
        <w:ind w:firstLine="240"/>
        <w:jc w:val="both"/>
      </w:pPr>
      <w:r>
        <w:t>• 每日均摊折旧及固定人工折旧成本：75,945.21 元/日；</w:t>
      </w:r>
    </w:p>
    <w:p>
      <w:pPr>
        <w:spacing w:line="300" w:lineRule="auto" w:after="120"/>
        <w:ind w:firstLine="240"/>
        <w:jc w:val="both"/>
      </w:pPr>
      <w:r>
        <w:t>• 总投资额：5.376 亿元（7站 × 0.768亿元/站）；</w:t>
      </w:r>
    </w:p>
    <w:p>
      <w:pPr>
        <w:spacing w:line="300" w:lineRule="auto" w:after="120"/>
        <w:ind w:firstLine="240"/>
        <w:jc w:val="both"/>
      </w:pPr>
      <w:r>
        <w:t>• 实际承运快运货流量：785.6 吨/日 (约占总需求的 41.2%)；</w:t>
      </w:r>
    </w:p>
    <w:p>
      <w:pPr>
        <w:spacing w:line="300" w:lineRule="auto" w:after="120"/>
        <w:ind w:firstLine="240"/>
        <w:jc w:val="both"/>
      </w:pPr>
      <w:r>
        <w:t>• 货运动车组承运 95.8 吨/日（12.2%），捎带列车承运 689.8 吨/日（87.8%）；</w:t>
      </w:r>
    </w:p>
    <w:p>
      <w:pPr>
        <w:spacing w:line="300" w:lineRule="auto" w:after="120"/>
        <w:ind w:firstLine="240"/>
        <w:jc w:val="both"/>
      </w:pPr>
      <w:r>
        <w:t>• 全网货流量满足率：41.2%，剩余 1122.8 吨/日的低收益长尾货流被模型战略性放弃。</w:t>
      </w:r>
    </w:p>
    <w:p>
      <w:pPr>
        <w:spacing w:line="300" w:lineRule="auto" w:after="120"/>
        <w:ind w:firstLine="440"/>
        <w:jc w:val="both"/>
      </w:pPr>
      <w:r>
        <w:t>深度学术分析：为什么模型仅仅满足了 41.2% 的货流量，并且完全放弃了东部走廊的基地建设？这正是运筹优化在实际工程投资中极其耀眼的理性决策价值所在。</w:t>
      </w:r>
    </w:p>
    <w:p>
      <w:pPr>
        <w:spacing w:line="300" w:lineRule="auto" w:after="120"/>
        <w:ind w:firstLine="440"/>
        <w:jc w:val="both"/>
      </w:pPr>
      <w:r>
        <w:t>第一，捎带模式的成本优势碾压了货运动车组。捎带列车的边际装卸成本仅为 120 元/吨，且不产生列车运行费和基地折旧费。相比之下，货运动车组的全成本（固定费+变动费+装卸费）在中短距离上也高达 2000-3500 元/吨。在捎带车站每日 48 吨的处理能力范围内（全路网 15 站 × 48 吨 = 720 吨/日），模型极度理性地将绝大部分货流（87.8%）分配给低成本捎带模式，仅在内陆枢纽间（如武汉-长沙-贵阳-成都）因捎带能力饱和或距离过长时，才启用货运动车组承运。</w:t>
      </w:r>
    </w:p>
    <w:p>
      <w:pPr>
        <w:spacing w:line="300" w:lineRule="auto" w:after="120"/>
        <w:ind w:firstLine="440"/>
        <w:jc w:val="both"/>
      </w:pPr>
      <w:r>
        <w:t>第二，「改建小规模」的投资回报率碾压了新建方案。根据表 4-1 的参数分析，从「改建小规模」到「新建小规模」，每日摊销成本从 1.08 万元暴增至 11.1 万元（增长 10 倍），而吞吐能力仅提升 4 倍（1列→4列）。在当前年度的快运需求密度下，模型果断拒绝了全部新建方案，仅以最小的轻资产代价（5.376 亿元）撬动了最丰厚的利润回报。这种「轻资产、高收益、重干线」的精明决策，是单纯依靠专家经验所无法触及的运筹优化巅峰。</w:t>
      </w:r>
    </w:p>
    <w:p>
      <w:pPr>
        <w:spacing w:line="300" w:lineRule="auto" w:after="120"/>
        <w:ind w:firstLine="440"/>
        <w:jc w:val="both"/>
      </w:pPr>
      <w:r>
        <w:t>我们将问题三各候选站点的建库决策、实际处理负荷与能力利用率汇总编制如下表 6-2 所示：</w:t>
      </w:r>
    </w:p>
    <w:tbl>
      <w:tblPr>
        <w:tblW w:type="auto" w:w="0"/>
        <w:jc w:val="center"/>
        <w:tblLook w:firstColumn="1" w:firstRow="1" w:lastColumn="0" w:lastRow="0" w:noHBand="0" w:noVBand="1" w:val="04A0"/>
      </w:tblPr>
      <w:tblGrid>
        <w:gridCol w:w="1949"/>
        <w:gridCol w:w="1949"/>
        <w:gridCol w:w="1949"/>
        <w:gridCol w:w="1949"/>
        <w:gridCol w:w="1949"/>
      </w:tblGrid>
      <w:tr>
        <w:trPr>
          <w:cantSplit/>
          <w:tblHeader/>
        </w:trPr>
        <w:tc>
          <w:tcPr>
            <w:tcW w:type="dxa" w:w="1949"/>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候选站点</w:t>
            </w:r>
          </w:p>
        </w:tc>
        <w:tc>
          <w:tcPr>
            <w:tcW w:type="dxa" w:w="1949"/>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建库决策</w:t>
            </w:r>
          </w:p>
        </w:tc>
        <w:tc>
          <w:tcPr>
            <w:tcW w:type="dxa" w:w="1949"/>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规模级别</w:t>
            </w:r>
          </w:p>
        </w:tc>
        <w:tc>
          <w:tcPr>
            <w:tcW w:type="dxa" w:w="1949"/>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每日实际吞吐量 (t/d)</w:t>
            </w:r>
          </w:p>
        </w:tc>
        <w:tc>
          <w:tcPr>
            <w:tcW w:type="dxa" w:w="1949"/>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基地处理能力利用率</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武汉 (WH)</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30.0 (装卸) + 137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长沙 (CS)</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28.0 (装卸) + 142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南昌 (NC)</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13.0 (装卸) + 180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郑州 (ZZ)</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25.0 (装卸) + 150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重庆 (CQ)</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12.0 (装卸) + 183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贵阳 (GY)</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41.0 (装卸) + 109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成都 (CD)</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开放建设</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改建小规模</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42.0 (装卸) + 107 (通过)</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100.0% (饱和)</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上海 (SH)</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关闭不建</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0.0</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杭州 (HZ)</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关闭不建</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0.0</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南京 (NJ)</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关闭不建</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0.0</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r>
      <w:tr>
        <w:trPr>
          <w:cantSplit/>
        </w:trPr>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合肥 (HF)</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关闭不建</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0.0</w:t>
            </w:r>
          </w:p>
        </w:tc>
        <w:tc>
          <w:tcPr>
            <w:tcW w:type="dxa" w:w="1949"/>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w:t>
            </w:r>
          </w:p>
        </w:tc>
      </w:tr>
      <w:tr>
        <w:trPr>
          <w:cantSplit/>
        </w:trPr>
        <w:tc>
          <w:tcPr>
            <w:tcW w:type="dxa" w:w="1949"/>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徐州 (XZ)</w:t>
            </w:r>
          </w:p>
        </w:tc>
        <w:tc>
          <w:tcPr>
            <w:tcW w:type="dxa" w:w="1949"/>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关闭不建</w:t>
            </w:r>
          </w:p>
        </w:tc>
        <w:tc>
          <w:tcPr>
            <w:tcW w:type="dxa" w:w="1949"/>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w:t>
            </w:r>
          </w:p>
        </w:tc>
        <w:tc>
          <w:tcPr>
            <w:tcW w:type="dxa" w:w="1949"/>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0.0</w:t>
            </w:r>
          </w:p>
        </w:tc>
        <w:tc>
          <w:tcPr>
            <w:tcW w:type="dxa" w:w="1949"/>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w:t>
            </w:r>
          </w:p>
        </w:tc>
      </w:tr>
    </w:tbl>
    <w:p>
      <w:pPr>
        <w:jc w:val="center"/>
      </w:pPr>
      <w:r>
        <w:drawing>
          <wp:inline xmlns:a="http://schemas.openxmlformats.org/drawingml/2006/main" xmlns:pic="http://schemas.openxmlformats.org/drawingml/2006/picture">
            <wp:extent cx="5029200" cy="2489200"/>
            <wp:docPr id="10" name="Picture 10"/>
            <wp:cNvGraphicFramePr>
              <a:graphicFrameLocks noChangeAspect="1"/>
            </wp:cNvGraphicFramePr>
            <a:graphic>
              <a:graphicData uri="http://schemas.openxmlformats.org/drawingml/2006/picture">
                <pic:pic>
                  <pic:nvPicPr>
                    <pic:cNvPr id="0" name="base_workloads.png"/>
                    <pic:cNvPicPr/>
                  </pic:nvPicPr>
                  <pic:blipFill>
                    <a:blip r:embed="rId11"/>
                    <a:stretch>
                      <a:fillRect/>
                    </a:stretch>
                  </pic:blipFill>
                  <pic:spPr>
                    <a:xfrm>
                      <a:off x="0" y="0"/>
                      <a:ext cx="5029200" cy="2489200"/>
                    </a:xfrm>
                    <a:prstGeom prst="rect"/>
                  </pic:spPr>
                </pic:pic>
              </a:graphicData>
            </a:graphic>
          </wp:inline>
        </w:drawing>
      </w:r>
    </w:p>
    <w:p>
      <w:pPr>
        <w:jc w:val="center"/>
      </w:pPr>
      <w:r>
        <w:rPr>
          <w:rFonts w:ascii="宋体" w:hAnsi="宋体"/>
          <w:rFonts w:ascii="宋体" w:hAnsi="宋体" w:eastAsia="宋体"/>
          <w:b/>
          <w:i w:val="0"/>
          <w:sz w:val="18"/>
        </w:rPr>
        <w:t>图 6-3：问题三优化选址基地货运处理量负荷与能力对比图</w:t>
      </w:r>
    </w:p>
    <w:p>
      <w:pPr>
        <w:spacing w:line="300" w:lineRule="auto" w:after="120"/>
        <w:ind w:firstLine="0"/>
        <w:jc w:val="both"/>
      </w:pPr>
      <w:r>
        <w:rPr>
          <w:b/>
        </w:rPr>
        <w:t>四、问题四求解结果：列车开行组织方案（货运班列折返路由与捎带频次设计）</w:t>
      </w:r>
    </w:p>
    <w:p>
      <w:pPr>
        <w:spacing w:line="300" w:lineRule="auto" w:after="120"/>
        <w:ind w:firstLine="440"/>
        <w:jc w:val="both"/>
      </w:pPr>
      <w:r>
        <w:t>基于问题三 MIP 模型导出的区间流量和捎带流量，我们进行了精准的运输服务拆解。</w:t>
      </w:r>
    </w:p>
    <w:p>
      <w:pPr>
        <w:spacing w:line="300" w:lineRule="auto" w:after="120"/>
        <w:ind w:firstLine="240"/>
        <w:jc w:val="both"/>
      </w:pPr>
      <w:r>
        <w:rPr>
          <w:b/>
        </w:rPr>
        <w:t>1. 捎带模式点对点开行方案（部分高流量干线展示）</w:t>
      </w:r>
    </w:p>
    <w:tbl>
      <w:tblPr>
        <w:tblW w:type="auto" w:w="0"/>
        <w:jc w:val="center"/>
        <w:tblLook w:firstColumn="1" w:firstRow="1" w:lastColumn="0" w:lastRow="0" w:noHBand="0" w:noVBand="1" w:val="04A0"/>
      </w:tblPr>
      <w:tblGrid>
        <w:gridCol w:w="2436"/>
        <w:gridCol w:w="2436"/>
        <w:gridCol w:w="2436"/>
        <w:gridCol w:w="2436"/>
      </w:tblGrid>
      <w:tr>
        <w:trPr>
          <w:cantSplit/>
          <w:tblHeader/>
        </w:trPr>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快运起点</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快运终点</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实际分配捎带货流 (t/d)</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每日计划开行频次 (列/日)</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长沙</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上海</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19.7</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贵阳</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合肥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17.6</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合肥</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贵阳</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17.6</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杭州</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成都</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17.3</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成都</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杭州</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17.3</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上海</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重庆</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16.0</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3 列</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成都</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上海</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15.3</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2 列</w:t>
            </w:r>
          </w:p>
        </w:tc>
      </w:tr>
      <w:tr>
        <w:trPr>
          <w:cantSplit/>
        </w:trPr>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武汉</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南通</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14.8</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每日开行 2 列</w:t>
            </w:r>
          </w:p>
        </w:tc>
      </w:tr>
    </w:tbl>
    <w:p>
      <w:pPr/>
    </w:p>
    <w:p>
      <w:pPr>
        <w:spacing w:line="300" w:lineRule="auto" w:after="120"/>
        <w:ind w:firstLine="240"/>
        <w:jc w:val="both"/>
      </w:pPr>
      <w:r>
        <w:rPr>
          <w:b/>
        </w:rPr>
        <w:t>2. 货运动车组大容量班列折返开行方案</w:t>
      </w:r>
    </w:p>
    <w:tbl>
      <w:tblPr>
        <w:tblW w:type="auto" w:w="0"/>
        <w:jc w:val="center"/>
        <w:tblLook w:firstColumn="1" w:firstRow="1" w:lastColumn="0" w:lastRow="0" w:noHBand="0" w:noVBand="1" w:val="04A0"/>
      </w:tblPr>
      <w:tblGrid>
        <w:gridCol w:w="2436"/>
        <w:gridCol w:w="2436"/>
        <w:gridCol w:w="2436"/>
        <w:gridCol w:w="2436"/>
      </w:tblGrid>
      <w:tr>
        <w:trPr>
          <w:cantSplit/>
          <w:tblHeader/>
        </w:trPr>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货运动车组班列运行路由</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承运路径距离</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日承担货运流量 (t/d)</w:t>
            </w:r>
          </w:p>
        </w:tc>
        <w:tc>
          <w:tcPr>
            <w:tcW w:type="dxa" w:w="2436"/>
            <w:tcBorders>
              <w:left w:val="none"/>
              <w:right w:val="none"/>
              <w:insideV w:val="none"/>
              <w:top w:val="single" w:sz="12" w:color="000000"/>
              <w:bottom w:val="single" w:sz="6" w:color="000000"/>
            </w:tcBorders>
            <w:shd w:fill="E6E6E6"/>
          </w:tcPr>
          <w:p>
            <w:pPr>
              <w:spacing w:after="40" w:before="40"/>
              <w:jc w:val="center"/>
            </w:pPr>
            <w:r/>
            <w:r>
              <w:rPr>
                <w:rFonts w:ascii="宋体" w:hAnsi="宋体"/>
                <w:rFonts w:ascii="宋体" w:hAnsi="宋体" w:eastAsia="宋体"/>
                <w:b/>
                <w:i w:val="0"/>
                <w:sz w:val="20"/>
              </w:rPr>
              <w:t>每日计划开行频次 (双向)</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长沙 (CS) ⇄ 贵阳 (GY) ⇄ 成都 (CD) ⇄ 重庆 (CQ)</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2715 km</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6.5 吨</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1.0 对</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长沙 (CS) ⇄ 贵阳 (GY) ⇄ 成都 (CD)</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1354 km</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7.7 吨</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1.0 对</w:t>
            </w:r>
          </w:p>
        </w:tc>
      </w:tr>
      <w:tr>
        <w:trPr>
          <w:cantSplit/>
        </w:trPr>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长沙 (CS) ⇄ 贵阳 (GY) ⇄ 重庆 (CQ) ⇄ 郑州 (ZZ)</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2120 km</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2.8 吨</w:t>
            </w:r>
          </w:p>
        </w:tc>
        <w:tc>
          <w:tcPr>
            <w:tcW w:type="dxa" w:w="2436"/>
            <w:tcBorders>
              <w:left w:val="none"/>
              <w:right w:val="none"/>
              <w:insideV w:val="none"/>
              <w:top w:val="none"/>
              <w:bottom w:val="none"/>
            </w:tcBorders>
          </w:tcPr>
          <w:p>
            <w:pPr>
              <w:spacing w:after="40" w:before="40"/>
              <w:jc w:val="center"/>
            </w:pPr>
            <w:r/>
            <w:r>
              <w:rPr>
                <w:rFonts w:ascii="宋体" w:hAnsi="宋体"/>
                <w:rFonts w:ascii="宋体" w:hAnsi="宋体" w:eastAsia="宋体"/>
                <w:b w:val="0"/>
                <w:i w:val="0"/>
                <w:sz w:val="20"/>
              </w:rPr>
              <w:t>每日开行 1.0 对</w:t>
            </w:r>
          </w:p>
        </w:tc>
      </w:tr>
      <w:tr>
        <w:trPr>
          <w:cantSplit/>
        </w:trPr>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武汉 (WH) ⇄ 长沙 (CS)</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362 km</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12.3 吨</w:t>
            </w:r>
          </w:p>
        </w:tc>
        <w:tc>
          <w:tcPr>
            <w:tcW w:type="dxa" w:w="2436"/>
            <w:tcBorders>
              <w:left w:val="none"/>
              <w:right w:val="none"/>
              <w:insideV w:val="none"/>
              <w:top w:val="none"/>
              <w:bottom w:val="single" w:sz="12" w:color="000000"/>
            </w:tcBorders>
          </w:tcPr>
          <w:p>
            <w:pPr>
              <w:spacing w:after="40" w:before="40"/>
              <w:jc w:val="center"/>
            </w:pPr>
            <w:r/>
            <w:r>
              <w:rPr>
                <w:rFonts w:ascii="宋体" w:hAnsi="宋体"/>
                <w:rFonts w:ascii="宋体" w:hAnsi="宋体" w:eastAsia="宋体"/>
                <w:b w:val="0"/>
                <w:i w:val="0"/>
                <w:sz w:val="20"/>
              </w:rPr>
              <w:t>每日开行 1.0 对</w:t>
            </w:r>
          </w:p>
        </w:tc>
      </w:tr>
    </w:tbl>
    <w:p>
      <w:pPr>
        <w:spacing w:line="300" w:lineRule="auto" w:after="120"/>
        <w:ind w:firstLine="440"/>
        <w:jc w:val="both"/>
      </w:pPr>
      <w:r>
        <w:t>分析表 6-2 与 6-3 可以看出，货运动车组的开行路径高度集中于内陆枢纽之间（长沙⇄贵阳⇄成都⇄重庆⇄郑州⇄武汉），形成了中西部「品字形」快运走廊。东部沿海城市（上海、杭州、南京等）完全依赖捎带模式，实现了「捎带为主、货动为辅」的双模协同格局。每条 EMU 班列的日流量虽然不高（2-13 吨），但由于采用了 85 吨大列，其边际满载率仍有较大提升空间，这为未来需求增长后的「增频填舱」预留了弹性。</w:t>
      </w:r>
    </w:p>
    <w:p>
      <w:pPr>
        <w:spacing w:line="300" w:lineRule="auto" w:after="120"/>
        <w:ind w:firstLine="0"/>
        <w:jc w:val="both"/>
      </w:pPr>
      <w:r>
        <w:rPr>
          <w:b/>
        </w:rPr>
        <w:t>五、问题五求解结果：大周期商业盈亏平衡与财务健康度可行性评估</w:t>
      </w:r>
    </w:p>
    <w:p>
      <w:pPr>
        <w:spacing w:line="300" w:lineRule="auto" w:after="120"/>
        <w:ind w:firstLine="440"/>
        <w:jc w:val="both"/>
      </w:pPr>
      <w:r>
        <w:t>为了检验本规划决策在长周期内的经济可行性，我们基于项目特许经营期 20 年进行了全寿命周期的财务核算（详见 problem5.py）。</w:t>
      </w:r>
    </w:p>
    <w:p>
      <w:pPr>
        <w:spacing w:line="300" w:lineRule="auto" w:after="120"/>
        <w:ind w:firstLine="440"/>
        <w:jc w:val="both"/>
      </w:pPr>
      <w:r>
        <w:t>项目前期固定基建资产投入：共开放 7 个改建小规模基地，单个基地固定投资为 0.768 亿元，总基建投资一次性支出为 7 x 0.768 = 5.376 亿元。折旧期内年均人工固定成本为 7 x 12 万元/年 = 84.0 万元/年。</w:t>
      </w:r>
    </w:p>
    <w:p>
      <w:pPr>
        <w:spacing w:line="300" w:lineRule="auto" w:after="120"/>
        <w:ind w:firstLine="440"/>
        <w:jc w:val="both"/>
      </w:pPr>
      <w:r>
        <w:t>日均财务收支：在目前的 4.5元/吨公里 (货动) 与 3.0元/吨公里 (捎带) 计费率下，全网总运量每日可创造约 280.8 万元的总运输收入（其中捎带收入占 82.5%，EMU 收入占 17.5%）；扣除每日建设折旧(7.6万)、基地变动操作费(5.3万)、列车运行区间费(33.1万)、起讫装卸费(19.5万)和中转费等共约 65.5 万元后，系统每日可攫取纯利润 218.1 万元。</w:t>
      </w:r>
    </w:p>
    <w:p>
      <w:pPr>
        <w:spacing w:line="300" w:lineRule="auto" w:after="120"/>
        <w:ind w:firstLine="440"/>
        <w:jc w:val="both"/>
      </w:pPr>
      <w:r>
        <w:t>盈亏平衡回收期：系统的年平均净现金流入为 7.96 亿元/年。项目盈亏平衡的投资回收期为：5.376 亿元 / 7.96 亿元/年 = 0.68 年（约 8.1 个月）。投资回报率 ROI = 148.1%/年。在随后的 20 年特许经营周期内，该网络将为铁路部门累计创造高达 93.8 亿元的累计净现值收益（折现率5%），内部收益率 IRR = 148.1%。</w:t>
      </w:r>
    </w:p>
    <w:p>
      <w:pPr>
        <w:spacing w:line="300" w:lineRule="auto" w:after="120"/>
        <w:ind w:firstLine="440"/>
        <w:jc w:val="both"/>
      </w:pPr>
      <w:r>
        <w:t>盈亏平衡分析表明：日固定成本约 7.6 万元（折旧+人工），平均吨收入约 3562 元/吨，边际贡献高达 2832 元/吨。因此只需每日承运约 26 吨货物（仅占总需求的 1.6%）即可达到盈亏平衡点，远低于当前优化的 785.6 吨/日实际承运量，安全边际高达 96.6%。</w:t>
      </w:r>
    </w:p>
    <w:p>
      <w:pPr>
        <w:spacing w:line="300" w:lineRule="auto" w:after="120"/>
        <w:ind w:firstLine="440"/>
        <w:jc w:val="both"/>
      </w:pPr>
      <w:r>
        <w:t>敏感性分析进一步确认：即使在需求下降 40% 的极端情景下，年净利润仍可保持 4.63 亿元；运价费率下调 30% 时年利润仍维持 7.36 亿元。建设成本上升 30% 仅使回收期从约 8.2 个月延长至约 10.7 个月。项目整体具有极强的抗风险弹性和财务健康度。</w:t>
      </w:r>
    </w:p>
    <w:p>
      <w:pPr>
        <w:jc w:val="center"/>
      </w:pPr>
      <w:r>
        <w:drawing>
          <wp:inline xmlns:a="http://schemas.openxmlformats.org/drawingml/2006/main" xmlns:pic="http://schemas.openxmlformats.org/drawingml/2006/picture">
            <wp:extent cx="5303520" cy="1634418"/>
            <wp:docPr id="11" name="Picture 11"/>
            <wp:cNvGraphicFramePr>
              <a:graphicFrameLocks noChangeAspect="1"/>
            </wp:cNvGraphicFramePr>
            <a:graphic>
              <a:graphicData uri="http://schemas.openxmlformats.org/drawingml/2006/picture">
                <pic:pic>
                  <pic:nvPicPr>
                    <pic:cNvPr id="0" name="sensitivity_analysis.png"/>
                    <pic:cNvPicPr/>
                  </pic:nvPicPr>
                  <pic:blipFill>
                    <a:blip r:embed="rId12"/>
                    <a:stretch>
                      <a:fillRect/>
                    </a:stretch>
                  </pic:blipFill>
                  <pic:spPr>
                    <a:xfrm>
                      <a:off x="0" y="0"/>
                      <a:ext cx="5303520" cy="1634418"/>
                    </a:xfrm>
                    <a:prstGeom prst="rect"/>
                  </pic:spPr>
                </pic:pic>
              </a:graphicData>
            </a:graphic>
          </wp:inline>
        </w:drawing>
      </w:r>
    </w:p>
    <w:p>
      <w:pPr>
        <w:jc w:val="center"/>
      </w:pPr>
      <w:r>
        <w:rPr>
          <w:rFonts w:ascii="宋体" w:hAnsi="宋体"/>
          <w:rFonts w:ascii="宋体" w:hAnsi="宋体" w:eastAsia="宋体"/>
          <w:b/>
          <w:i w:val="0"/>
          <w:sz w:val="18"/>
        </w:rPr>
        <w:t>图 6-4：问题五敏感性分析——需求、费率、建设成本对项目收益与回收期的影响</w:t>
      </w:r>
    </w:p>
    <w:p>
      <w:pPr>
        <w:spacing w:line="300" w:lineRule="auto" w:after="120"/>
        <w:ind w:firstLine="0"/>
        <w:jc w:val="both"/>
      </w:pPr>
      <w:r>
        <w:rPr>
          <w:b/>
        </w:rPr>
        <w:t>六、问题六求解结果：多式联运市场竞争与高铁快运盈利最大化改善建议</w:t>
      </w:r>
    </w:p>
    <w:p>
      <w:pPr>
        <w:spacing w:line="300" w:lineRule="auto" w:after="120"/>
        <w:ind w:firstLine="440"/>
        <w:jc w:val="both"/>
      </w:pPr>
      <w:r>
        <w:t>我们对高铁快运与其主要市场竞争对手——航空货运和公路干线卡车运输进行了系统量化对比分析（详见 problem6.py）。以 200 吨货物的运输场景为例，纯运输成本的对比表明：公路卡车在 0-5000km 全距离范围内具有绝对的成本优势（约为高铁的 1/4 至 1/3），高铁快运的固定成本（50000元/列）远高于公路（2000元/车），但高铁在时效性（250km/h vs 80km/h）、准点率（99% vs 85%）和环保性（碳排放仅为公路的 1/5）方面具有压倒性优势。航空货运虽然速度最快（800km/h），但其高昂的固定成本（80000元/架次）和装卸费（500元/吨）使其在 0-5000km 范围内总成本始终高于高铁。</w:t>
      </w:r>
    </w:p>
    <w:p>
      <w:pPr>
        <w:spacing w:line="300" w:lineRule="auto" w:after="120"/>
        <w:ind w:firstLine="240"/>
        <w:jc w:val="both"/>
      </w:pPr>
      <w:r>
        <w:t>从综合竞争力来看，我们选取运输时效、运价竞争力、准点可靠性、装载能力、碳排放、网络覆盖六大维度进行雷达图评分：</w:t>
      </w:r>
    </w:p>
    <w:p>
      <w:pPr>
        <w:spacing w:line="300" w:lineRule="auto" w:after="120"/>
        <w:ind w:firstLine="240"/>
        <w:jc w:val="both"/>
      </w:pPr>
      <w:r>
        <w:t>- 运输时效：航空货运（极快，800km/h, 1000km以上绝对优势）&gt; 高铁快运（快，250km/h, 500-1500km内当天达/次晨达）&gt; 公路卡车（慢，80km/h, 1-3天）；</w:t>
      </w:r>
    </w:p>
    <w:p>
      <w:pPr>
        <w:spacing w:line="300" w:lineRule="auto" w:after="120"/>
        <w:ind w:firstLine="240"/>
        <w:jc w:val="both"/>
      </w:pPr>
      <w:r>
        <w:t>- 运价竞争力：公路卡车（极低，约0.5元/t-km）&gt; 高铁快运（中等，3-5元/t-km）&gt; 航空货运（高，约8元/t-km）；</w:t>
      </w:r>
    </w:p>
    <w:p>
      <w:pPr>
        <w:spacing w:line="300" w:lineRule="auto" w:after="120"/>
        <w:ind w:firstLine="240"/>
        <w:jc w:val="both"/>
      </w:pPr>
      <w:r>
        <w:t>- 准点可靠性：高铁快运（极强，准点率99%）&gt; 公路卡车（中等，受天气/路况影响）&gt; 航空货运（较差，受空域管制与天气双重影响，准点率约75%）；</w:t>
      </w:r>
    </w:p>
    <w:p>
      <w:pPr>
        <w:spacing w:line="300" w:lineRule="auto" w:after="120"/>
        <w:ind w:firstLine="240"/>
        <w:jc w:val="both"/>
      </w:pPr>
      <w:r>
        <w:t>- 装载能力：公路卡车（灵活，30t/车可组队）&gt; 高铁快运（大，85t/列）&gt; 航空货运（受限，约20t/架次）；</w:t>
      </w:r>
    </w:p>
    <w:p>
      <w:pPr>
        <w:spacing w:line="300" w:lineRule="auto" w:after="120"/>
        <w:ind w:firstLine="240"/>
        <w:jc w:val="both"/>
      </w:pPr>
      <w:r>
        <w:t>- 碳排放：高铁快运（极低，约0.02 kg/t-km）&gt; 公路卡车（中等，约0.10 kg/t-km）&gt; 航空货运（高，约0.60 kg/t-km，为高铁30倍）；</w:t>
      </w:r>
    </w:p>
    <w:p>
      <w:pPr>
        <w:spacing w:line="300" w:lineRule="auto" w:after="120"/>
        <w:ind w:firstLine="240"/>
        <w:jc w:val="both"/>
      </w:pPr>
      <w:r>
        <w:t>- 网络覆盖：公路卡车（极高，毛细血管门到门）&gt; 航空货运（中等，机场间）&gt; 高铁快运（中等，受限于车站到发，需联合公路解决最后一公里）。</w:t>
      </w:r>
    </w:p>
    <w:p>
      <w:pPr>
        <w:jc w:val="center"/>
      </w:pPr>
      <w:r>
        <w:drawing>
          <wp:inline xmlns:a="http://schemas.openxmlformats.org/drawingml/2006/main" xmlns:pic="http://schemas.openxmlformats.org/drawingml/2006/picture">
            <wp:extent cx="5303520" cy="1935015"/>
            <wp:docPr id="12" name="Picture 12"/>
            <wp:cNvGraphicFramePr>
              <a:graphicFrameLocks noChangeAspect="1"/>
            </wp:cNvGraphicFramePr>
            <a:graphic>
              <a:graphicData uri="http://schemas.openxmlformats.org/drawingml/2006/picture">
                <pic:pic>
                  <pic:nvPicPr>
                    <pic:cNvPr id="0" name="modal_competition.png"/>
                    <pic:cNvPicPr/>
                  </pic:nvPicPr>
                  <pic:blipFill>
                    <a:blip r:embed="rId13"/>
                    <a:stretch>
                      <a:fillRect/>
                    </a:stretch>
                  </pic:blipFill>
                  <pic:spPr>
                    <a:xfrm>
                      <a:off x="0" y="0"/>
                      <a:ext cx="5303520" cy="1935015"/>
                    </a:xfrm>
                    <a:prstGeom prst="rect"/>
                  </pic:spPr>
                </pic:pic>
              </a:graphicData>
            </a:graphic>
          </wp:inline>
        </w:drawing>
      </w:r>
    </w:p>
    <w:p>
      <w:pPr>
        <w:jc w:val="center"/>
      </w:pPr>
      <w:r>
        <w:rPr>
          <w:rFonts w:ascii="宋体" w:hAnsi="宋体"/>
          <w:rFonts w:ascii="宋体" w:hAnsi="宋体" w:eastAsia="宋体"/>
          <w:b/>
          <w:i w:val="0"/>
          <w:sz w:val="18"/>
        </w:rPr>
        <w:t>图 6-5：问题六多式联运成本-距离曲线与综合竞争力雷达图</w:t>
      </w:r>
    </w:p>
    <w:p>
      <w:pPr>
        <w:spacing w:line="300" w:lineRule="auto" w:after="120"/>
        <w:ind w:firstLine="440"/>
        <w:jc w:val="both"/>
      </w:pPr>
      <w:r>
        <w:t>基于上述市场博弈格局，高铁快运在 500-1500 km 距离带上具有显著的「时效-成本-可靠性」综合竞争优势（纯运输成本公路最低，但含时间价值后高铁在中长距离最优）。如果希望进一步拓展盈利版图，我们提出三大战略改善建议：</w:t>
      </w:r>
    </w:p>
    <w:p>
      <w:pPr>
        <w:spacing w:line="300" w:lineRule="auto" w:after="120"/>
        <w:ind w:firstLine="240"/>
        <w:jc w:val="both"/>
      </w:pPr>
      <w:r>
        <w:t>1) 破除“站到站”瓶颈，构建“门到门”物流同盟。高铁快运必须深度联合顺丰速运、京东物流、邮政速递等拥有庞大毛细揽配网络的民营物流巨头，建立联合仓储与同城快速揽配班车，打通“最初一公里”与“最后一公里”；</w:t>
      </w:r>
    </w:p>
    <w:p>
      <w:pPr>
        <w:spacing w:line="300" w:lineRule="auto" w:after="120"/>
        <w:ind w:firstLine="240"/>
        <w:jc w:val="both"/>
      </w:pPr>
      <w:r>
        <w:t>2) 研发标准化高铁集装单元与机械化滑板作业。目前人工搬运箱效率低，必须研发与货动空间完全吻合的滑轮式集装单元，实现“整列滑移装卸”，将基地单次作业时间压缩至 15 分钟以内，彻底释放货动流转效能；</w:t>
      </w:r>
    </w:p>
    <w:p>
      <w:pPr>
        <w:spacing w:line="300" w:lineRule="auto" w:after="120"/>
        <w:ind w:firstLine="240"/>
        <w:jc w:val="both"/>
      </w:pPr>
      <w:r>
        <w:t>3) 拓展高边际利润细分市场。加装恒温冷链集装隔舱，大力拓展异地海鲜、农产品、医药冷链等对温度与时效要求极度苛刻的高价值物流产品，进一步调高该类细分货流的定价费率，创造更厚的商业壁垒。</w:t>
      </w:r>
    </w:p>
    <w:p>
      <w:pPr>
        <w:spacing w:line="300" w:lineRule="auto" w:after="120"/>
        <w:ind w:firstLine="440"/>
        <w:jc w:val="both"/>
      </w:pPr>
      <w:r>
        <w:t>第三，东部走廊的「零基地」策略深刻揭示了网络效应的经济学本质。上海、杭州、南京等东部枢纽城市拥有极高密度的捎带列车频次（载客动车组停站频繁），48 吨/日/站的捎带能力足以覆盖这些站点主要的高价值 OD 货流。在这些站点投入数亿元的基地建设费用，其边际收益远低于将节省的资本用于其他投资。模型以定量化的方式验证了「捎带优先、基地补充」这一双模协同策略的卓越经济性。</w:t>
      </w:r>
    </w:p>
    <w:p w14:paraId="6F25BFCD" w14:textId="60F6B47E"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七</w:t>
      </w:r>
      <w:r w:rsidR="00C75323">
        <w:rPr>
          <w:rFonts w:ascii="微软雅黑" w:eastAsia="微软雅黑" w:hAnsi="微软雅黑" w:hint="eastAsia"/>
          <w:color w:val="000000"/>
        </w:rPr>
        <w:t>、心得体会</w:t>
      </w:r>
    </w:p>
    <w:p>
      <w:pPr>
        <w:spacing w:line="300" w:lineRule="auto" w:after="120"/>
        <w:ind w:firstLine="440"/>
        <w:jc w:val="both"/>
      </w:pPr>
      <w:r>
        <w:t>本次现代交通运输智能优化实训，为我们提供了一个将经典的运筹学网络流理论与大型高速铁路工程规划进行深度融合的实操舞台。在整个建模与求解过程中，我们感触最深的是“理论指导实践，数据规范决策”的系统化科学思想。</w:t>
      </w:r>
    </w:p>
    <w:p>
      <w:pPr>
        <w:spacing w:line="300" w:lineRule="auto" w:after="120"/>
        <w:ind w:firstLine="440"/>
        <w:jc w:val="both"/>
      </w:pPr>
      <w:r>
        <w:t>在实训初期，面对 12 个候选站点的多维选址决策与 190 个 OD 商品在 44 条区间上复杂的网络分流与中转交错约束，我们深切体会到了混合整数规划模型所面临的“维数灾难”与收敛难度。通过多次调试 Gurobi 模型，引入合理的“多商品流（Multi-commodity flow）平衡表示”与大 M 惩罚技术，最终将求解时间由最初的数十分钟大幅压缩到惊人的 1.58 秒。这一算法性能的飞跃，使我们深刻认识到：在实际物流系统规划中，严谨、精妙的变量设计与数学表达，是决定求解器生死成败的关键。</w:t>
      </w:r>
    </w:p>
    <w:p>
      <w:pPr>
        <w:spacing w:line="300" w:lineRule="auto" w:after="120"/>
        <w:ind w:firstLine="440"/>
        <w:jc w:val="both"/>
      </w:pPr>
      <w:r>
        <w:t>此外，通过对问题三中“39.7%满足率下商业收益最大化”的运筹剖析，我们彻底打破了以往工程设计中“追求百分百全额满足”的传统本能思想。在基础设施巨额折旧与运营开销的双重夹击下，如何用理性的“运筹思维”在“高投入大产出”与“轻资产高收益”之间找到最具商业可行性的黄金分割点，是我们本次实训中最深刻、最宝贵的认知收获。它为我们未来走向大型交通基础设施规划与现代智慧物流运营管理奠定了坚不可摧的方法论基石。</w:t>
      </w:r>
    </w:p>
    <w:p w14:paraId="09A14262" w14:textId="3CAE3414"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八</w:t>
      </w:r>
      <w:r w:rsidR="00C75323">
        <w:rPr>
          <w:rFonts w:ascii="微软雅黑" w:eastAsia="微软雅黑" w:hAnsi="微软雅黑" w:hint="eastAsia"/>
          <w:color w:val="000000"/>
        </w:rPr>
        <w:t>、参考文献</w:t>
      </w:r>
    </w:p>
    <w:p>
      <w:pPr>
        <w:spacing w:line="300" w:lineRule="auto" w:after="120"/>
        <w:ind w:firstLine="0"/>
        <w:jc w:val="both"/>
      </w:pPr>
      <w:r>
        <w:t>[1] 郭军, 倪少权, 赵小强. 高速货运动车组开行方案多目标一体化协同优化模型[J]. 铁道学报, 2021, 43(8): 12-21.</w:t>
      </w:r>
    </w:p>
    <w:p>
      <w:pPr>
        <w:spacing w:line="300" w:lineRule="auto" w:after="120"/>
        <w:ind w:firstLine="0"/>
        <w:jc w:val="both"/>
      </w:pPr>
      <w:r>
        <w:t>[2] 梁棟, 吕红霞, 张鹏程. 基于客货协同的高铁捎带快运网络设计与流量分配[J]. 中国铁道科学, 2023, 44(2): 185-196.</w:t>
      </w:r>
    </w:p>
    <w:p>
      <w:pPr>
        <w:spacing w:line="300" w:lineRule="auto" w:after="120"/>
        <w:ind w:firstLine="0"/>
        <w:jc w:val="both"/>
      </w:pPr>
      <w:r>
        <w:t>[3] Farahani R Z, Hekmatfar M. Facility Location: Concepts, Models, Algorithms and Applications[M]. Springer Science &amp; Business Media, 2009.</w:t>
      </w:r>
    </w:p>
    <w:p>
      <w:pPr>
        <w:spacing w:line="300" w:lineRule="auto" w:after="120"/>
        <w:ind w:firstLine="0"/>
        <w:jc w:val="both"/>
      </w:pPr>
      <w:r>
        <w:t>[4] Ahuja R K, Magnanti T L, Orlin J B. Network Flows: Theory, Algorithms, and Applications[M]. Prentice Hall, 1993.</w:t>
      </w:r>
    </w:p>
    <w:p>
      <w:pPr>
        <w:spacing w:line="300" w:lineRule="auto" w:after="120"/>
        <w:ind w:firstLine="0"/>
        <w:jc w:val="both"/>
      </w:pPr>
      <w:r>
        <w:t>[5] 铁路“十四五”现代物流体系建设与高速货动网络规划纲要[R]. 中华人民共和国交通运输部, 2022.</w:t>
      </w:r>
    </w:p>
    <w:p w14:paraId="61AF470E" w14:textId="5533DD80" w:rsidR="00EE5309" w:rsidRDefault="000745AF">
      <w:pPr>
        <w:pStyle w:val="2"/>
        <w:rPr>
          <w:rFonts w:ascii="微软雅黑" w:eastAsia="微软雅黑" w:hAnsi="微软雅黑" w:hint="eastAsia"/>
          <w:color w:val="000000"/>
        </w:rPr>
      </w:pPr>
      <w:r>
        <w:rPr>
          <w:rFonts w:ascii="微软雅黑" w:eastAsia="微软雅黑" w:hAnsi="微软雅黑" w:hint="eastAsia"/>
          <w:color w:val="000000"/>
        </w:rPr>
        <w:t>九</w:t>
      </w:r>
      <w:r w:rsidR="00C75323">
        <w:rPr>
          <w:rFonts w:ascii="微软雅黑" w:eastAsia="微软雅黑" w:hAnsi="微软雅黑" w:hint="eastAsia"/>
          <w:color w:val="000000"/>
        </w:rPr>
        <w:t>、附录</w:t>
      </w:r>
    </w:p>
    <w:p>
      <w:pPr>
        <w:spacing w:line="300" w:lineRule="auto" w:after="120"/>
        <w:ind w:firstLine="440"/>
        <w:jc w:val="both"/>
      </w:pPr>
      <w:r>
        <w:t>在本次实训优化求解中，MCMF 模型与 MIP 模型的运行均依托标准的 Windows 11 环境进行，软硬件配置规格如下：</w:t>
      </w:r>
    </w:p>
    <w:p>
      <w:pPr>
        <w:spacing w:line="300" w:lineRule="auto" w:after="120"/>
        <w:ind w:firstLine="240"/>
        <w:jc w:val="both"/>
      </w:pPr>
      <w:r>
        <w:t>• 处理器 (CPU): 13th Gen Intel(R) Core(TM) i7-13650HX, 14核心 20线程；</w:t>
      </w:r>
    </w:p>
    <w:p>
      <w:pPr>
        <w:spacing w:line="300" w:lineRule="auto" w:after="120"/>
        <w:ind w:firstLine="240"/>
        <w:jc w:val="both"/>
      </w:pPr>
      <w:r>
        <w:t>• 运行内存 (RAM): 16.0 GB DDR5 高频内存；</w:t>
      </w:r>
    </w:p>
    <w:p>
      <w:pPr>
        <w:spacing w:line="300" w:lineRule="auto" w:after="120"/>
        <w:ind w:firstLine="240"/>
        <w:jc w:val="both"/>
      </w:pPr>
      <w:r>
        <w:t>• 编程语言环境: Python 3.10.6 (64-bit), NumPy 1.23.5, Pandas 1.5.3, NetworkX 3.0；</w:t>
      </w:r>
    </w:p>
    <w:p>
      <w:pPr>
        <w:spacing w:line="300" w:lineRule="auto" w:after="120"/>
        <w:ind w:firstLine="240"/>
        <w:jc w:val="both"/>
      </w:pPr>
      <w:r>
        <w:t>• 商业求解器版本: Gurobi Optimizer 12.0.3 (Academic License).</w:t>
      </w:r>
    </w:p>
    <w:sectPr w:rsidR="00EE5309">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28523" w14:textId="77777777" w:rsidR="00B56FE8" w:rsidRDefault="00B56FE8" w:rsidP="000745AF">
      <w:r>
        <w:separator/>
      </w:r>
    </w:p>
  </w:endnote>
  <w:endnote w:type="continuationSeparator" w:id="0">
    <w:p w14:paraId="5FB74DC6" w14:textId="77777777" w:rsidR="00B56FE8" w:rsidRDefault="00B56FE8" w:rsidP="00074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2C73E" w14:textId="77777777" w:rsidR="00B56FE8" w:rsidRDefault="00B56FE8" w:rsidP="000745AF">
      <w:r>
        <w:separator/>
      </w:r>
    </w:p>
  </w:footnote>
  <w:footnote w:type="continuationSeparator" w:id="0">
    <w:p w14:paraId="27A272D6" w14:textId="77777777" w:rsidR="00B56FE8" w:rsidRDefault="00B56FE8" w:rsidP="000745A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1F"/>
    <w:rsid w:val="000745AF"/>
    <w:rsid w:val="000C5C5B"/>
    <w:rsid w:val="0021623B"/>
    <w:rsid w:val="00273168"/>
    <w:rsid w:val="00320F45"/>
    <w:rsid w:val="004F607D"/>
    <w:rsid w:val="00666003"/>
    <w:rsid w:val="007023B3"/>
    <w:rsid w:val="00844255"/>
    <w:rsid w:val="00854C5E"/>
    <w:rsid w:val="0086512F"/>
    <w:rsid w:val="009E6D60"/>
    <w:rsid w:val="00A019CC"/>
    <w:rsid w:val="00AB0B1F"/>
    <w:rsid w:val="00AB2779"/>
    <w:rsid w:val="00AB68AB"/>
    <w:rsid w:val="00AC320D"/>
    <w:rsid w:val="00B56FE8"/>
    <w:rsid w:val="00C75323"/>
    <w:rsid w:val="00DC2AB1"/>
    <w:rsid w:val="00E54DF5"/>
    <w:rsid w:val="00EE24E3"/>
    <w:rsid w:val="00EE5309"/>
    <w:rsid w:val="00F854D4"/>
    <w:rsid w:val="00FB04C6"/>
    <w:rsid w:val="00FB532C"/>
    <w:rsid w:val="03C75776"/>
    <w:rsid w:val="0BA24AC6"/>
    <w:rsid w:val="25090731"/>
    <w:rsid w:val="44092E2E"/>
    <w:rsid w:val="49D7054F"/>
    <w:rsid w:val="54223E0A"/>
    <w:rsid w:val="545D7859"/>
    <w:rsid w:val="57014E5D"/>
    <w:rsid w:val="6C47110C"/>
    <w:rsid w:val="6F474EED"/>
    <w:rsid w:val="752E10BB"/>
    <w:rsid w:val="76C57626"/>
    <w:rsid w:val="7EE21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244DA"/>
  <w15:docId w15:val="{36482787-ED00-48A5-84CF-BE2D7A97B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Calibri" w:hAnsi="Calibr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autoRedefine/>
    <w:uiPriority w:val="9"/>
    <w:unhideWhenUsed/>
    <w:qFormat/>
    <w:pPr>
      <w:keepNext/>
      <w:keepLines/>
      <w:spacing w:before="280" w:after="290" w:line="376" w:lineRule="auto"/>
      <w:outlineLvl w:val="3"/>
    </w:pPr>
    <w:rPr>
      <w:rFonts w:ascii="Cambria" w:hAnsi="Cambria"/>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qFormat/>
    <w:pPr>
      <w:tabs>
        <w:tab w:val="center" w:pos="4153"/>
        <w:tab w:val="right" w:pos="8306"/>
      </w:tabs>
      <w:snapToGrid w:val="0"/>
      <w:jc w:val="left"/>
    </w:pPr>
    <w:rPr>
      <w:sz w:val="18"/>
      <w:szCs w:val="18"/>
    </w:rPr>
  </w:style>
  <w:style w:type="paragraph" w:styleId="a5">
    <w:name w:val="header"/>
    <w:basedOn w:val="a"/>
    <w:link w:val="a6"/>
    <w:autoRedefine/>
    <w:qFormat/>
    <w:pPr>
      <w:pBdr>
        <w:bottom w:val="single" w:sz="6" w:space="1" w:color="auto"/>
      </w:pBdr>
      <w:tabs>
        <w:tab w:val="center" w:pos="4153"/>
        <w:tab w:val="right" w:pos="8306"/>
      </w:tabs>
      <w:snapToGrid w:val="0"/>
      <w:jc w:val="center"/>
    </w:pPr>
    <w:rPr>
      <w:sz w:val="18"/>
      <w:szCs w:val="18"/>
    </w:rPr>
  </w:style>
  <w:style w:type="table" w:styleId="a7">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autoRedefine/>
    <w:uiPriority w:val="99"/>
    <w:qFormat/>
    <w:rPr>
      <w:color w:val="0000FF"/>
      <w:u w:val="single"/>
    </w:rPr>
  </w:style>
  <w:style w:type="character" w:customStyle="1" w:styleId="a6">
    <w:name w:val="页眉 字符"/>
    <w:link w:val="a5"/>
    <w:autoRedefine/>
    <w:qFormat/>
    <w:rPr>
      <w:rFonts w:ascii="Calibri" w:hAnsi="Calibri"/>
      <w:kern w:val="2"/>
      <w:sz w:val="18"/>
      <w:szCs w:val="18"/>
    </w:rPr>
  </w:style>
  <w:style w:type="character" w:customStyle="1" w:styleId="a4">
    <w:name w:val="页脚 字符"/>
    <w:link w:val="a3"/>
    <w:autoRedefine/>
    <w:qFormat/>
    <w:rPr>
      <w:rFonts w:ascii="Calibri" w:hAnsi="Calibri"/>
      <w:kern w:val="2"/>
      <w:sz w:val="18"/>
      <w:szCs w:val="18"/>
    </w:rPr>
  </w:style>
  <w:style w:type="character" w:customStyle="1" w:styleId="20">
    <w:name w:val="标题 2 字符"/>
    <w:link w:val="2"/>
    <w:autoRedefine/>
    <w:uiPriority w:val="9"/>
    <w:qFormat/>
    <w:rPr>
      <w:rFonts w:ascii="Cambria" w:eastAsia="宋体" w:hAnsi="Cambria" w:cs="Times New Roman"/>
      <w:b/>
      <w:bCs/>
      <w:kern w:val="2"/>
      <w:sz w:val="32"/>
      <w:szCs w:val="32"/>
    </w:rPr>
  </w:style>
  <w:style w:type="character" w:customStyle="1" w:styleId="30">
    <w:name w:val="标题 3 字符"/>
    <w:link w:val="3"/>
    <w:autoRedefine/>
    <w:uiPriority w:val="9"/>
    <w:qFormat/>
    <w:rPr>
      <w:rFonts w:ascii="Calibri" w:hAnsi="Calibri"/>
      <w:b/>
      <w:bCs/>
      <w:kern w:val="2"/>
      <w:sz w:val="32"/>
      <w:szCs w:val="32"/>
    </w:rPr>
  </w:style>
  <w:style w:type="character" w:customStyle="1" w:styleId="40">
    <w:name w:val="标题 4 字符"/>
    <w:link w:val="4"/>
    <w:autoRedefine/>
    <w:uiPriority w:val="9"/>
    <w:qFormat/>
    <w:rPr>
      <w:rFonts w:ascii="Cambria" w:eastAsia="宋体" w:hAnsi="Cambria" w:cs="Times New Roman"/>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哈尔滨工业大学</dc:title>
  <dc:creator>l</dc:creator>
  <cp:lastModifiedBy>JC Z</cp:lastModifiedBy>
  <cp:revision>2</cp:revision>
  <dcterms:created xsi:type="dcterms:W3CDTF">2026-05-29T13:35:00Z</dcterms:created>
  <dcterms:modified xsi:type="dcterms:W3CDTF">2026-05-29T13:35:00Z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FDCC9DD48E184CFFA40EB0A5BB240502_13</vt:lpwstr>
  </property>
  <property fmtid="{D5CDD505-2E9C-101B-9397-08002B2CF9AE}" pid="4" name="KSOTemplateDocerSaveRecord">
    <vt:lpwstr>eyJoZGlkIjoiYTZmOTQyMDYzNDg3ZjBiOGFjYjMyNGZjNDAyNDIwNTciLCJ1c2VySWQiOiI2MzM3NjMzOTUifQ==</vt:lpwstr>
  </property>
</Properties>
</file>