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PingFang SC" w:cs="PingFang SC" w:eastAsia="PingFang SC" w:hAnsi="PingFang SC"/>
          <w:b/>
          <w:bCs/>
          <w:color w:val="1C2B2E"/>
          <w:sz w:val="44"/>
          <w:szCs w:val="44"/>
        </w:rPr>
        <w:t xml:space="preserve">登革热风险预测模型</w:t>
      </w:r>
    </w:p>
    <w:p>
      <w:pPr>
        <w:spacing w:after="60"/>
        <w:jc w:val="center"/>
      </w:pPr>
      <w:r>
        <w:rPr>
          <w:rFonts w:ascii="PingFang SC" w:cs="PingFang SC" w:eastAsia="PingFang SC" w:hAnsi="PingFang SC"/>
          <w:b/>
          <w:bCs/>
          <w:color w:val="0E7C7B"/>
          <w:sz w:val="32"/>
          <w:szCs w:val="32"/>
        </w:rPr>
        <w:t xml:space="preserve">分析方法与结果报告</w:t>
      </w:r>
    </w:p>
    <w:p>
      <w:pPr>
        <w:spacing w:after="40"/>
        <w:jc w:val="center"/>
      </w:pPr>
      <w:r>
        <w:rPr>
          <w:rFonts w:ascii="PingFang SC" w:cs="PingFang SC" w:eastAsia="PingFang SC" w:hAnsi="PingFang SC"/>
          <w:color w:val="5E7075"/>
          <w:sz w:val="20"/>
          <w:szCs w:val="20"/>
        </w:rPr>
        <w:t xml:space="preserve">数据来源:巴西 SINAN 登革热通报系统 2023–2025</w:t>
      </w:r>
    </w:p>
    <w:p>
      <w:pPr>
        <w:spacing w:after="60"/>
        <w:jc w:val="center"/>
      </w:pPr>
      <w:r>
        <w:rPr>
          <w:rFonts w:ascii="PingFang SC" w:cs="PingFang SC" w:eastAsia="PingFang SC" w:hAnsi="PingFang SC"/>
          <w:color w:val="5E7075"/>
          <w:sz w:val="20"/>
          <w:szCs w:val="20"/>
        </w:rPr>
        <w:t xml:space="preserve">建模方法:逻辑回归  ·  面向教学</w:t>
      </w:r>
    </w:p>
    <w:p>
      <w:pPr>
        <w:pBdr>
          <w:bottom w:val="single" w:color="C0392B" w:sz="6" w:space="6"/>
        </w:pBdr>
        <w:spacing w:after="200"/>
        <w:jc w:val="center"/>
      </w:pPr>
      <w:r>
        <w:rPr>
          <w:rFonts w:ascii="PingFang SC" w:cs="PingFang SC" w:eastAsia="PingFang SC" w:hAnsi="PingFang SC"/>
        </w:rPr>
        <w:t xml:space="preserve"/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一、  研究概述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本报告基于巴西国家法定传染病通报系统(SINAN)2023–2025 三个年度的登革热通报数据,使用逻辑回归构建可解释的风险预测模型。整体流程分为五个阶段:数据抽取、特征工程、定义结局变量、处理类别不平衡、建模与评估。全文分“方法”与“结果”两部分。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之所以选择逻辑回归而非黑箱模型,是因为它的每个系数都可直接读为“该特征对结局的对数几率贡献”,便于临床解释与教学讲解,也更契合“风险计算器”的应用目标。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二、  数据来源与规模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SINAN 中每一条记录代表一个疑似或确诊登革热病例,包含症状、合并症、人口学信息与最终分类。原始文件约 121 列,本研究仅抽取建模所需的约 27 列以提高读取与内存效率。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三个年度文件:2023 / 2024 / 2025,每年约 160 万条通报记录。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数据清洗(年龄、性别、日期有效性过滤)后,约 470 万条有效记录进入建模。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其中确诊登革热约 413 万条。2024 年为巴西大暴发年,确诊数大幅上升,类别分布随之改变。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三年确诊结局分布: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普通(10)4,031,923 例;警示症状(11)88,996 例;重症(12)6,569 例。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三、  特征工程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该步骤将原始编码字段转换为模型可用的 0/1 与数值特征,共 26 个特征。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3.1  症状与合并症编码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SINAN 对症状与合并症使用 1=有、2=无、9=未知 的编码。统一转换为二值特征:取值等于“1”记为 1,否则记为 0。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14 个症状: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发热、肌痛、头痛、皮疹、呕吐、恶心、背痛、结膜炎、关节炎、关节痛、瘀点、白细胞减少、束臂试验、眼后痛。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7 个合并症: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糖尿病、血液病、肝病、肾病、高血压、消化性溃疡、自身免疫病。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3.2  年龄解码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字段 NU_IDADE_N 为编码值而非直接岁数:开头为 4 表示单位“岁”(如 4031 = 31 岁);小于 4000 表示小时/天/月(未满 1 岁),统一记为 0 岁。随后仅保留 0–110 岁的合理范围。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3.3  病程天数(day_ill)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病程 = 通报日期 − 症状开始日期,仅保留 0–14 天的记录,兼作数据质量过滤(负值或过长均为录入错误)。需特别说明:初始实现误将日期按“日/月/年”解析,导致全部记录解析失败、样本清零;实际格式为 ISO “年-月-日”,修正后问题解决。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3.4  季节性(sin / cos 周期编码)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登革热高度依赖季节。取流行病学周(1–52)后,用一对正弦/余弦坐标进行周期编码,使第 52 周与第 1 周在特征空间中相邻,而非数值上相差 51,从而正确表达“年末”与“年初”的临近关系。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四、  结局变量与三个模型定义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结局变量 CLASSI_FIN 的取值含义为:8 = 不确定/排除,10 = 登革热(普通),11 = 登革热伴警示症状,12 = 重症登革热。严重程度为 10 &lt; 11 &lt; 12。围绕它设计三个互补的二分类问题: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模型 A —— 是否登革热: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正类=确诊(10/11/12),负类=不确定(8)。需注意数据中并无确认的“非登革热”对照,缺乏真阴性。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模型 B —— 是否加重: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在已确诊病例中,正类=警示+重症(11/12),负类=普通(10)。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模型 B2 —— 是否重症: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正类=重症(12),负类=其余登革热(10/11)。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五、  类别不平衡的处理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5.1  问题:重症样本极度稀少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确诊病例中重症(12)仅占约 0.16%(6,569 / 413 万)。若直接用原始数据训练,模型只需“永远预测非重症”即可获得约 99.8% 的准确率,却无法识别任何重症病例——因为忽略这几千人几乎不影响总正确率,模型缺乏学习动力。为此采用两个叠加对策。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5.2  对策一:下采样(Undersampling)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将数量占绝对多数的类别随机抽样缩减,使两类数量不再悬殊;少数类样本全部保留。以模型 B2 为例,保留全部 6,569 个重症病例,并从 400 余万非重症中随机抽取 12 万条,训练比例由约 600∶1 降至约 18∶1。此举既让模型认真对待少数类,也显著加快训练。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5.3  对策二:类别平衡权重(class_weight="balanced")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在逻辑回归内部进一步为少数类样本赋予更高权重,使算错一个重症的“惩罚”远大于算错一个普通病例。sklearn 的权重公式为:每类权重 = 总样本数 ÷(类别数 × 该类样本数),类别越小权重越大。下采样先缩小数量差距,权重再补偿剩余不平衡,两者互补。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六、  建模与评估方法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训练/测试拆分: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按结局分层(stratified)进行 70/30 拆分,保证训练集与测试集正负比例一致。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模型: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逻辑回归,开启类别平衡权重,最大迭代 600。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可解释性: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每个系数为该特征对结局的对数几率贡献,正值表示更可能、负值表示更不可能。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评估指标: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AUC(区分能力总指标,0.5=随机、1=完美)、敏感度(检出率,少漏诊)、特异度(少误报),并输出混淆矩阵与系数。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七、  结果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7.1  三个模型的总体表现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下表汇总三个模型在 70/30 分层测试集上的表现。</w:t>
      </w:r>
    </w:p>
    <w:tbl>
      <w:tblPr>
        <w:tblW w:type="dxa" w:w="9360"/>
        <w:tblBorders>
          <w:top w:val="single" w:color="BFD4D2" w:sz="2"/>
          <w:left w:val="single" w:color="BFD4D2" w:sz="2"/>
          <w:bottom w:val="single" w:color="BFD4D2" w:sz="2"/>
          <w:right w:val="single" w:color="BFD4D2" w:sz="2"/>
          <w:insideH w:val="single" w:color="D8E5E3" w:sz="1"/>
          <w:insideV w:val="single" w:color="D8E5E3" w:sz="1"/>
        </w:tblBorders>
      </w:tblPr>
      <w:tblGrid>
        <w:gridCol w:w="2000"/>
        <w:gridCol w:w="2760"/>
        <w:gridCol w:w="1360"/>
        <w:gridCol w:w="1080"/>
        <w:gridCol w:w="1080"/>
        <w:gridCol w:w="1080"/>
      </w:tblGrid>
      <w:tr>
        <w:trPr>
          <w:tblHeader/>
        </w:trPr>
        <w:tc>
          <w:tcPr>
            <w:tcW w:type="dxa" w:w="200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276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9"/>
                <w:szCs w:val="19"/>
              </w:rPr>
              <w:t xml:space="preserve">预测目标</w:t>
            </w:r>
          </w:p>
        </w:tc>
        <w:tc>
          <w:tcPr>
            <w:tcW w:type="dxa" w:w="136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9"/>
                <w:szCs w:val="19"/>
              </w:rPr>
              <w:t xml:space="preserve">样本量 n</w:t>
            </w:r>
          </w:p>
        </w:tc>
        <w:tc>
          <w:tcPr>
            <w:tcW w:type="dxa" w:w="108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  <w:tc>
          <w:tcPr>
            <w:tcW w:type="dxa" w:w="108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9"/>
                <w:szCs w:val="19"/>
              </w:rPr>
              <w:t xml:space="preserve">敏感度</w:t>
            </w:r>
          </w:p>
        </w:tc>
        <w:tc>
          <w:tcPr>
            <w:tcW w:type="dxa" w:w="1080"/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19"/>
                <w:szCs w:val="19"/>
              </w:rPr>
              <w:t xml:space="preserve">特异度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模型 A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是否登革热(确诊 vs 不确定)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160,000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0.674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0.724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0.526</w:t>
            </w:r>
          </w:p>
        </w:tc>
      </w:tr>
      <w:tr>
        <w:tc>
          <w:tcPr>
            <w:tcW w:type="dxa" w:w="2000"/>
            <w:shd w:fill="EA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模型 B</w:t>
            </w:r>
          </w:p>
        </w:tc>
        <w:tc>
          <w:tcPr>
            <w:tcW w:type="dxa" w:w="2760"/>
            <w:shd w:fill="EA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是否加重(警示+重症 vs 普通)</w:t>
            </w:r>
          </w:p>
        </w:tc>
        <w:tc>
          <w:tcPr>
            <w:tcW w:type="dxa" w:w="1360"/>
            <w:shd w:fill="EA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215,565</w:t>
            </w:r>
          </w:p>
        </w:tc>
        <w:tc>
          <w:tcPr>
            <w:tcW w:type="dxa" w:w="1080"/>
            <w:shd w:fill="EA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0.716</w:t>
            </w:r>
          </w:p>
        </w:tc>
        <w:tc>
          <w:tcPr>
            <w:tcW w:type="dxa" w:w="1080"/>
            <w:shd w:fill="EA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0.599</w:t>
            </w:r>
          </w:p>
        </w:tc>
        <w:tc>
          <w:tcPr>
            <w:tcW w:type="dxa" w:w="1080"/>
            <w:shd w:fill="EA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0.721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模型 B2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是否重症(重症 vs 其他登革热)</w:t>
            </w:r>
          </w:p>
        </w:tc>
        <w:tc>
          <w:tcPr>
            <w:tcW w:type="dxa" w:w="1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126,569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0.810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0.691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C2B2E"/>
                <w:sz w:val="19"/>
                <w:szCs w:val="19"/>
              </w:rPr>
              <w:t xml:space="preserve">0.774</w:t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模型 B2(是否重症)表现最佳,AUC 达 0.810;模型 A(是否登革热)最弱,AUC 仅 0.674——因其负类为“不确定”而非真正的健康对照,模型难以学到可排除登革热的特征。加入 2024 暴发年数据后,模型 A 的 AUC 较此前两年数据略有下降,与类别分布改变一致。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7.2  ROC 曲线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88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1  模型 A 与模型 B 的 ROC 曲线(SINAN 2023+2024+2025)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7.3  模型 B 的特征系数与核心发现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模型 B 的逻辑回归系数排序显示:白细胞减少的正向贡献最强,其次为呕吐及多项合并症(高血压、肾病、自身免疫病、糖尿病);而消化性溃疡、头痛、背痛等呈负向。</w:t>
      </w:r>
    </w:p>
    <w:p>
      <w:pPr>
        <w:spacing w:after="40" w:before="80"/>
        <w:jc w:val="center"/>
      </w:pPr>
      <w:r>
        <w:drawing>
          <wp:inline distT="0" distB="0" distL="0" distR="0">
            <wp:extent cx="40957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88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2  模型 B 各特征系数(系数 &gt; 0 表示更可能加重/重症)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7.4  关键发现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重症的核心信号一致: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白细胞减少与合并症(血液病、肾病、自身免疫病、糖尿病、高血压)是加重与重症的主要驱动因素。模型 B2 中血液病(1.45)、白细胞减少(1.31)、肾病(1.28)排名最前。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严重程度比“是否为登革热”更可学: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B2(AUC 0.81)显著优于 A(AUC 0.67)。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普通症状呈负向: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头痛、背痛等常见症状在重症模型中系数为负,更多与普通登革热相关。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八、  外部校验:与 IDAMS(Lancet Supplement 7)对照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采用 IDAMS 研究(Early diagnostic indicators of dengue versus other febrile illnesses,Lancet Global Health 2023,appendix 7 / Table S11)提供的“登革热 vs 其他发热”按发病天数分层临床优势比(OR),对模型 A 进行外部校验。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需先声明两点错配,它们决定了可做与不可做的校验:(1)目标不同——IDAMS 的对照是真正的“其他发热”,而 SINAN 的负类为“不确定/排除(8)”;(2)IDAMS 多数关键变量(咳嗽、流涕、皮肤潮红、连续体温)SINAN 并不采集,真正可对齐的仅 4 个变量。因此本节做的是方向层面的定性校验,而非整套系数的定量迁移。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8.1  方向一致性(通过)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4 个重叠变量——发热/体温、皮疹、瘀点/皮肤出血、年龄——在模型 A 中的系数全部为正,与 IDAMS 的 OR&gt;1 方向完全一致(4/4)。且内部强弱排序也一致:皮肤出血(瘀点)的系数高于皮疹,呼应 IDAMS 中皮肤出血 OR(第 3–5 天 5.6→11.1)远高于皮疹的现象。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88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3  方向一致性:4 个重叠变量在模型 A 中全部与 IDAMS 同向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8.2  发病天数梯度(未复现)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IDAMS 的判别力随发病第 2→5 天显著上升(AUC 0.75→0.86)。按发病天数分层重训模型 A 后,各天 AUC 基本持平(0.66–0.67),未见上升趋势。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88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4  发病天数梯度:IDAMS 随病程上升,SINAN 模型 A 基本持平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这一“未复现”本身是有信息量的结果,原因有三:(1)SINAN 的“8=不确定/排除”并非干净的非登革热发热对照,其中可能包含大量未确诊的登革热,信号不随病程锐化;(2)缺少 IDAMS 后期最强的判别变量——皮肤/黏膜出血、皮肤潮红在第 4–5 天 OR 激增,而 SINAN 仅有瘀点、无其余;(3)SINAN 症状为通报时一次性记录,而非逐日更新。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综合:模型 A 在方向层面通过了外部校验(系数方向与已发表证据一致),但未能复现随病程增强的时间动态,恰好印证前述局限——缺乏真阴性、且缺少后期关键判别变量。若目标是做真正的“是否登革热”诊断模型,需要采集这些变量或引入非登革热发热对照。此外,IDAMS 仅对应模型 A;模型 B/B2(是否重症)应以 WHO 警示征或重症预测文献为对照,不在本次校验范围。</w:t>
      </w:r>
    </w:p>
    <w:p>
      <w:pPr>
        <w:pStyle w:val="Heading2"/>
        <w:spacing w:after="90" w:before="180"/>
      </w:pPr>
      <w:r>
        <w:rPr>
          <w:rFonts w:ascii="PingFang SC" w:cs="PingFang SC" w:eastAsia="PingFang SC" w:hAnsi="PingFang SC"/>
          <w:b/>
          <w:bCs/>
          <w:color w:val="0E7C7B"/>
          <w:sz w:val="25"/>
          <w:szCs w:val="25"/>
        </w:rPr>
        <w:t xml:space="preserve">8.3  计算器整体迁移:逐人套用 IDAMS 评分的实测表现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进一步把 IDAMS 风险计算器逐人套用到三年数据中发病第 2–5 天的全部记录(共 5,060,427 人:2023 年 82.7 万、2024 年 337.0 万、2025 年 86.4 万),按 Table S11 对应天数的系数计算每人的风险评分(log-odds)。可映射变量为 11 个中的 5 个:地区(拉丁美洲)、年龄、发热(以“发热=体温升高 1℃”近似)、皮疹、瘀点(近似皮肤出血);咳嗽、流涕、皮肤潮红等强判别变量缺失。数据说明:本节使用完整重建的三年数据(2024 年为全量 656 万条通报;前文模型拟合使用的是 2024 年约 161 万条的子集,方向性结论不受影响)。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判别力呈清晰的三级阶梯:IDAMS 系数直接迁移(不重训)AUC = 0.617;同样 4 个变量在本地重新训练升至 0.650;本地全 26 特征模型 0.668。两个差值各有含义——前者(约 0.03)是“人群与目标错配”的迁移损失,后者(约 0.02)是本地额外变量的增益。把束臂试验阳性并入皮肤出血的敏感性分析仅使 AUC 变为 0.619,结果稳健。所有数值均远低于 IDAMS 发表的 0.75–0.86,原因与 8.2 节相同:预测目标不同且关键变量缺失。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88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5  IDAMS 计算器迁移到 SINAN 的表现阶梯(发病第 2–5 天)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分年看,计算器在 2023、2024、2025 年的 AUC 分别为 0.618、0.601、0.665——恰在大暴发的 2024 年最差。这符合预期:疫情高峰期通报系统超载,“不确定”类中混入大量未确诊的真登革热,标签噪声最大。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按计算器自带阈值(0.4 / 1.6)分档:最终确诊组中 25% 被判低风险、65% 中风险、9% 高风险;最终不确定组为 42% / 52% / 6%。即约 74.6% 的确诊者会被建议就医或检测(中+高档),但不确定组也有 58.1% 落入同一区间——在此目标上分诊分离度有限。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最有价值的发现是:该评分随最终严重程度单调上升。不确定(8)、普通(10)、警示(11)、重症(12)四组的平均评分依次为 0.58、0.82、0.96、1.18,被判高风险档的比例依次为 6%、9%、15%、24%——重症患者被计算器标为高风险的概率约是普通登革热的 2.6 倍。一个为“是否登革热”设计的评分,意外携带了可观的严重程度信息,这为“以计算器分数辅助分诊”的教学叙事提供了数据支撑。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88"/>
        <w:jc w:val="center"/>
      </w:pPr>
      <w:r>
        <w:rPr>
          <w:rFonts w:ascii="PingFang SC" w:cs="PingFang SC" w:eastAsia="PingFang SC" w:hAnsi="PingFang SC"/>
          <w:i/>
          <w:iCs/>
          <w:color w:val="5E7075"/>
          <w:sz w:val="18"/>
          <w:szCs w:val="18"/>
        </w:rPr>
        <w:t xml:space="preserve">图 6  计算器分档分布(左)与评分随严重程度的单调梯度(右)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小结:整体迁移“可用但打折”——方向正确、梯度合理,但绝对判别力有限且阈值未经本地校准。若要实际部署,应固定已发表系数、在本地数据上重新拟合截距与斜率(logistic recalibration),并按“漏诊代价高于误报”的原则重设分档阈值。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九、  局限性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缺乏真阴性: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数据中没有确认的“非登革热”健康对照,模型 A 无法学到真正的排除特征。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指标偏乐观: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由于测试集同样来自下采样后的平衡数据,报告的特异度与阳性预测值高于真实低患病率情形。真实部署时,报警者中的真阳性比例会更低,应在保持原始比例的测试集上另行评估。</w:t>
      </w:r>
    </w:p>
    <w:p>
      <w:pPr>
        <w:pStyle w:val="ListParagraph"/>
        <w:numPr>
          <w:ilvl w:val="0"/>
          <w:numId w:val="1"/>
        </w:numPr>
        <w:spacing w:after="70" w:line="288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1C2B2E"/>
          <w:sz w:val="22"/>
          <w:szCs w:val="22"/>
        </w:rPr>
        <w:t xml:space="preserve">自报数据偏差:</w:t>
      </w: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特征均为通报时的自报症状,可能存在缺失与录入偏差。</w:t>
      </w:r>
    </w:p>
    <w:p>
      <w:pPr>
        <w:pStyle w:val="Heading1"/>
        <w:spacing w:after="130" w:before="260"/>
      </w:pPr>
      <w:r>
        <w:rPr>
          <w:rFonts w:ascii="PingFang SC" w:cs="PingFang SC" w:eastAsia="PingFang SC" w:hAnsi="PingFang SC"/>
          <w:b/>
          <w:bCs/>
          <w:color w:val="1C2B2E"/>
          <w:sz w:val="30"/>
          <w:szCs w:val="30"/>
        </w:rPr>
        <w:t xml:space="preserve">十、  结论</w:t>
      </w:r>
    </w:p>
    <w:p>
      <w:pPr>
        <w:spacing w:after="140" w:line="30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1C2B2E"/>
          <w:sz w:val="22"/>
          <w:szCs w:val="22"/>
        </w:rPr>
        <w:t xml:space="preserve">三年合并数据得到的结论内部一致且更稳健:白细胞减少与合并症是重症预测的核心;重症模型(B2)明显比“是否登革热”模型(A)更可学。与 IDAMS 已发表模型的外部校验显示,模型 A 的系数方向与文献一致(4/4 重叠变量同向),但未能复现随病程增强的判别趋势,原因在于缺乏真阴性与后期关键判别变量。将 IDAMS 计算器整体迁移到三年巴西数据(506 万人)后 AUC 为 0.617,低于本地重训,证实跨人群使用前必须本地重校准;但其评分随最终严重程度单调上升(高风险档占比从普通的 9% 升至重症的 24%),支持将计算器分数作为分诊参考的定位。方法上,通过规范的特征工程、下采样与类别平衡权重处理稀有结局,并采用可解释的逻辑回归,得到可用于教学与初步风险分层的模型。后续应在保持原始患病率的测试集上重新评估,并考虑采集出血/皮肤潮红等变量或引入非登革热发热对照,以获得贴近真实、可迁移的诊断性能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C2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d21d293ccb0a63c704d28aa05e76f2a4f7d0d5.png"/><Relationship Id="rId8" Type="http://schemas.openxmlformats.org/officeDocument/2006/relationships/image" Target="media/c162eb561acee7b48622f292b6ca6173ff120259.png"/><Relationship Id="rId9" Type="http://schemas.openxmlformats.org/officeDocument/2006/relationships/image" Target="media/07ca4f8e9d396818d60c0516d5e6eac4218e194b.png"/><Relationship Id="rId10" Type="http://schemas.openxmlformats.org/officeDocument/2006/relationships/image" Target="media/b96e795084e8683feaae663eea7389a76ad0e048.png"/><Relationship Id="rId11" Type="http://schemas.openxmlformats.org/officeDocument/2006/relationships/image" Target="media/3e652d255e172df51e53060192f7abdcbfae470a.png"/><Relationship Id="rId12" Type="http://schemas.openxmlformats.org/officeDocument/2006/relationships/image" Target="media/697a553e5447d55883c266e6bbcaf11a7a66064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2026-08-16T03:23:56.922Z</dcterms:created>
  <dcterms:modified xsi:type="dcterms:W3CDTF">2026-08-16T03:23:56.971Z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