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E5D"/>
          <w:sz w:val="36"/>
        </w:rPr>
        <w:t>Acuerdo de confidencialidad para acceso a Matices</w:t>
      </w:r>
    </w:p>
    <w:p>
      <w:pPr>
        <w:jc w:val="center"/>
      </w:pPr>
      <w:r>
        <w:rPr>
          <w:rFonts w:ascii="Arial" w:hAnsi="Arial"/>
          <w:b/>
          <w:color w:val="646464"/>
          <w:sz w:val="20"/>
        </w:rPr>
        <w:t>MATICES</w:t>
      </w:r>
    </w:p>
    <w:p>
      <w:r>
        <w:t xml:space="preserve">En </w:t>
      </w:r>
      <w:r>
        <w:rPr>
          <w:b/>
        </w:rPr>
        <w:t>[ciudad y estado]</w:t>
      </w:r>
      <w:r>
        <w:t xml:space="preserve">, México, a </w:t>
      </w:r>
      <w:r>
        <w:rPr>
          <w:b/>
        </w:rPr>
        <w:t>[fecha]</w:t>
      </w:r>
      <w:r>
        <w:t>, comparecen:</w:t>
      </w:r>
    </w:p>
    <w:p>
      <w:pPr>
        <w:pStyle w:val="ListNumber"/>
      </w:pPr>
      <w:r>
        <w:rPr>
          <w:b/>
        </w:rPr>
        <w:t>Dayana Analy Pacheco Bañuelos</w:t>
      </w:r>
      <w:r>
        <w:t xml:space="preserve">, con domicilio en </w:t>
      </w:r>
      <w:r>
        <w:rPr>
          <w:b/>
        </w:rPr>
        <w:t>[domicilio]</w:t>
      </w:r>
      <w:r>
        <w:t xml:space="preserve">, y </w:t>
      </w:r>
      <w:r>
        <w:rPr>
          <w:b/>
        </w:rPr>
        <w:t>Omar Hernández Salmerón</w:t>
      </w:r>
      <w:r>
        <w:t xml:space="preserve">, con domicilio en </w:t>
      </w:r>
      <w:r>
        <w:rPr>
          <w:b/>
        </w:rPr>
        <w:t>[domicilio]</w:t>
      </w:r>
      <w:r>
        <w:t xml:space="preserve">, en adelante, conjuntamente, las </w:t>
      </w:r>
      <w:r>
        <w:rPr>
          <w:b/>
        </w:rPr>
        <w:t>Personas Divulgadoras</w:t>
      </w:r>
      <w:r>
        <w:t>; y</w:t>
      </w:r>
    </w:p>
    <w:p>
      <w:pPr>
        <w:pStyle w:val="ListNumber"/>
      </w:pPr>
      <w:r>
        <w:rPr>
          <w:b/>
        </w:rPr>
        <w:t>[nombre completo o razón social de la persona receptora]</w:t>
      </w:r>
      <w:r>
        <w:t xml:space="preserve">, con domicilio en </w:t>
      </w:r>
      <w:r>
        <w:rPr>
          <w:b/>
        </w:rPr>
        <w:t>[domicilio]</w:t>
      </w:r>
      <w:r>
        <w:t xml:space="preserve">, </w:t>
      </w:r>
      <w:r>
        <w:rPr>
          <w:b/>
        </w:rPr>
        <w:t>[RFC, si corresponde]</w:t>
      </w:r>
      <w:r>
        <w:t xml:space="preserve">, representada por </w:t>
      </w:r>
      <w:r>
        <w:rPr>
          <w:b/>
        </w:rPr>
        <w:t>[nombre y cargo, si corresponde]</w:t>
      </w:r>
      <w:r>
        <w:t xml:space="preserve">, en adelante, la </w:t>
      </w:r>
      <w:r>
        <w:rPr>
          <w:b/>
        </w:rPr>
        <w:t>Parte Receptora</w:t>
      </w:r>
      <w:r>
        <w:t>.</w:t>
      </w:r>
    </w:p>
    <w:p>
      <w:r>
        <w:t>Las partes acuerdan lo siguiente:</w:t>
      </w:r>
    </w:p>
    <w:p>
      <w:pPr>
        <w:pStyle w:val="Heading1"/>
      </w:pPr>
      <w:r>
        <w:t>1. Finalidad</w:t>
      </w:r>
    </w:p>
    <w:p>
      <w:r>
        <w:t xml:space="preserve">La Parte Receptora podrá revisar la Información Confidencial únicamente para evaluar una posible colaboración, promoción, financiamiento o licencia relacionada con el proyecto </w:t>
      </w:r>
      <w:r>
        <w:rPr>
          <w:b/>
        </w:rPr>
        <w:t>Matices</w:t>
      </w:r>
      <w:r>
        <w:t xml:space="preserve"> (la </w:t>
      </w:r>
      <w:r>
        <w:rPr>
          <w:b/>
        </w:rPr>
        <w:t>Finalidad</w:t>
      </w:r>
      <w:r>
        <w:t>). Este acuerdo no autoriza ningún otro uso.</w:t>
      </w:r>
    </w:p>
    <w:p>
      <w:pPr>
        <w:pStyle w:val="Heading1"/>
      </w:pPr>
      <w:r>
        <w:t>2. Información Confidencial</w:t>
      </w:r>
    </w:p>
    <w:p>
      <w:r>
        <w:t>Es Información Confidencial toda información no pública de Matices que las Personas Divulgadoras comuniquen a la Parte Receptora, antes o después de la firma, por escrito, de palabra, mediante imágenes, demostraciones, archivos o acceso a sistemas, y que esté identificada como confidencial o que por su contenido y circunstancias deba entenderse como tal.</w:t>
      </w:r>
    </w:p>
    <w:p>
      <w:r>
        <w:t>Incluye, entre otras cosas, conceptos y propuestas no divulgados, diseño del juego, mecánicas, historias, personajes, documentos, investigaciones, ilustraciones, prototipos, código, planes de negocio, costos, estrategias, contactos, credenciales y la existencia o contenido de las conversaciones entre las partes. No incluye información de terceros que las Personas Divulgadoras no estén autorizadas a compartir.</w:t>
      </w:r>
    </w:p>
    <w:p>
      <w:pPr>
        <w:pStyle w:val="Heading1"/>
      </w:pPr>
      <w:r>
        <w:t>3. Obligaciones de la Parte Receptora</w:t>
      </w:r>
    </w:p>
    <w:p>
      <w:r>
        <w:t>La Parte Receptora se obliga a:</w:t>
      </w:r>
    </w:p>
    <w:p>
      <w:pPr>
        <w:pStyle w:val="ListNumber"/>
      </w:pPr>
      <w:r>
        <w:t>Usar la Información Confidencial solo para la Finalidad.</w:t>
      </w:r>
    </w:p>
    <w:p>
      <w:pPr>
        <w:pStyle w:val="ListNumber"/>
      </w:pPr>
      <w:r>
        <w:t>No divulgarla, publicarla, venderla, explotarla ni usarla para otro proyecto sin autorización previa y por escrito de quien tenga los derechos correspondientes.</w:t>
      </w:r>
    </w:p>
    <w:p>
      <w:pPr>
        <w:pStyle w:val="ListNumber"/>
      </w:pPr>
      <w:r>
        <w:t>Limitar el acceso a su personal y asesores que necesiten conocerla para la Finalidad y que estén sujetos a deberes de confidencialidad. La Parte Receptora responderá por el incumplimiento de esas personas.</w:t>
      </w:r>
    </w:p>
    <w:p>
      <w:pPr>
        <w:pStyle w:val="ListNumber"/>
      </w:pPr>
      <w:r>
        <w:t>Protegerla con medidas razonables, no compartir credenciales ni copiarla fuera de los sistemas autorizados por las Personas Divulgadoras. No podrá subirla a repositorios públicos, servicios de intercambio de archivos ni herramientas de inteligencia artificial sin autorización previa y por escrito.</w:t>
      </w:r>
    </w:p>
    <w:p>
      <w:pPr>
        <w:pStyle w:val="ListNumber"/>
      </w:pPr>
      <w:r>
        <w:t>Avisar sin demora a las Personas Divulgadoras si detecta pérdida, acceso o divulgación no autorizados.</w:t>
      </w:r>
    </w:p>
    <w:p>
      <w:pPr>
        <w:pStyle w:val="Heading1"/>
      </w:pPr>
      <w:r>
        <w:t>4. Información excluida</w:t>
      </w:r>
    </w:p>
    <w:p>
      <w:r>
        <w:t>La Parte Receptora no tendrá estas obligaciones respecto de información que pueda demostrar documentalmente que:</w:t>
      </w:r>
    </w:p>
    <w:p>
      <w:pPr>
        <w:pStyle w:val="ListBullet"/>
      </w:pPr>
      <w:r>
        <w:t>ya era pública cuando la recibió, o se hizo pública sin incumplir este acuerdo;</w:t>
      </w:r>
    </w:p>
    <w:p>
      <w:pPr>
        <w:pStyle w:val="ListBullet"/>
      </w:pPr>
      <w:r>
        <w:t>ya tenía legítimamente antes de recibirla;</w:t>
      </w:r>
    </w:p>
    <w:p>
      <w:pPr>
        <w:pStyle w:val="ListBullet"/>
      </w:pPr>
      <w:r>
        <w:t>recibió legítimamente de otra persona que no tenía deber de confidencialidad; o</w:t>
      </w:r>
    </w:p>
    <w:p>
      <w:pPr>
        <w:pStyle w:val="ListBullet"/>
      </w:pPr>
      <w:r>
        <w:t>desarrolló de manera independiente, sin usar ni consultar la Información Confidencial.</w:t>
      </w:r>
    </w:p>
    <w:p>
      <w:r>
        <w:t>Si una autoridad exige divulgar información, la Parte Receptora avisará previamente a las Personas Divulgadoras cuando la ley lo permita y limitará la divulgación a lo estrictamente exigido.</w:t>
      </w:r>
    </w:p>
    <w:p>
      <w:pPr>
        <w:pStyle w:val="Heading1"/>
      </w:pPr>
      <w:r>
        <w:t>5. Devolución o eliminación</w:t>
      </w:r>
    </w:p>
    <w:p>
      <w:r>
        <w:t>Cuando las Personas Divulgadoras lo soliciten por escrito o termine la evaluación, la Parte Receptora dejará de usar la Información Confidencial y devolverá o eliminará las copias bajo su control. Si una norma exige conservar alguna copia, no podrá usarse y seguirá protegida por este acuerdo.</w:t>
      </w:r>
    </w:p>
    <w:p>
      <w:pPr>
        <w:pStyle w:val="Heading1"/>
      </w:pPr>
      <w:r>
        <w:t>6. Derechos y ausencia de licencia</w:t>
      </w:r>
    </w:p>
    <w:p>
      <w:r>
        <w:t>La Información Confidencial y los derechos sobre cada material siguen perteneciendo a quien corresponda. Este acuerdo no cede derechos ni concede licencia para publicar, modificar, producir, distribuir o explotar Matices. Cualquier licencia o transferencia requerirá un acuerdo separado, escrito y firmado por quienes tengan facultad para otorgarla.</w:t>
      </w:r>
    </w:p>
    <w:p>
      <w:r>
        <w:t>Este acuerdo tampoco determina la participación de cada persona autora ni obliga a las partes a celebrar una colaboración, inversión o licencia.</w:t>
      </w:r>
    </w:p>
    <w:p>
      <w:pPr>
        <w:pStyle w:val="Heading1"/>
      </w:pPr>
      <w:r>
        <w:t>7. Vigencia</w:t>
      </w:r>
    </w:p>
    <w:p>
      <w:r>
        <w:t>El acuerdo entra en vigor cuando lo firme la última de las partes. Cada divulgación queda sujeta a las obligaciones de confidencialidad durante cinco años desde su fecha. Si cierta información reúne los requisitos legales para ser secreto industrial, la obligación de no divulgarla continuará mientras conserve ese carácter conforme a la ley aplicable.</w:t>
      </w:r>
    </w:p>
    <w:p>
      <w:pPr>
        <w:pStyle w:val="Heading1"/>
      </w:pPr>
      <w:r>
        <w:t>8. Ley aplicable y tribunales</w:t>
      </w:r>
    </w:p>
    <w:p>
      <w:r>
        <w:t xml:space="preserve">Este acuerdo se interpretará conforme a las leyes aplicables en México. Para cualquier controversia, las partes se someten a los tribunales competentes de </w:t>
      </w:r>
      <w:r>
        <w:rPr>
          <w:b/>
        </w:rPr>
        <w:t>[ciudad y estado]</w:t>
      </w:r>
      <w:r>
        <w:t>, México, salvo que una norma obligatoria disponga otra cosa.</w:t>
      </w:r>
    </w:p>
    <w:p>
      <w:pPr>
        <w:pStyle w:val="Heading1"/>
      </w:pPr>
      <w:r>
        <w:t>9. Firmas</w:t>
      </w:r>
    </w:p>
    <w:p>
      <w:r>
        <w:t>Las partes manifiestan que leyeron y aceptan este acuerdo. Pueden firmar ejemplares separados; juntos formarán un solo acuerdo.</w:t>
      </w:r>
    </w:p>
    <w:tbl>
      <w:tblPr>
        <w:tblStyle w:val="TableGrid"/>
        <w:tblW w:type="auto" w:w="0"/>
        <w:tblLayout w:type="autofit"/>
        <w:tblLook w:firstColumn="1" w:firstRow="1" w:lastColumn="0" w:lastRow="0" w:noHBand="0" w:noVBand="1" w:val="04A0"/>
      </w:tblPr>
      <w:tblGrid>
        <w:gridCol w:w="4896"/>
        <w:gridCol w:w="4896"/>
      </w:tblGrid>
      <w:tr>
        <w:tc>
          <w:tcPr>
            <w:tcW w:type="dxa" w:w="4896"/>
            <w:shd w:fill="EAF0F6"/>
          </w:tcPr>
          <w:p>
            <w:r>
              <w:rPr>
                <w:b/>
              </w:rPr>
            </w:r>
            <w:r>
              <w:rPr>
                <w:b/>
              </w:rPr>
              <w:t>Personas Divulgadoras</w:t>
            </w:r>
          </w:p>
        </w:tc>
        <w:tc>
          <w:tcPr>
            <w:tcW w:type="dxa" w:w="4896"/>
            <w:shd w:fill="EAF0F6"/>
          </w:tcPr>
          <w:p>
            <w:r>
              <w:rPr>
                <w:b/>
              </w:rPr>
            </w:r>
            <w:r>
              <w:rPr>
                <w:b/>
              </w:rPr>
              <w:t>Firma</w:t>
            </w:r>
          </w:p>
        </w:tc>
      </w:tr>
      <w:tr>
        <w:tc>
          <w:tcPr>
            <w:tcW w:type="dxa" w:w="4896"/>
          </w:tcPr>
          <w:p>
            <w:r/>
            <w:r>
              <w:t>Dayana Analy Pacheco Bañuelos</w:t>
            </w:r>
          </w:p>
        </w:tc>
        <w:tc>
          <w:tcPr>
            <w:tcW w:type="dxa" w:w="4896"/>
          </w:tcPr>
          <w:p>
            <w:r/>
            <w:r>
              <w:t>______________________________</w:t>
            </w:r>
          </w:p>
        </w:tc>
      </w:tr>
      <w:tr>
        <w:tc>
          <w:tcPr>
            <w:tcW w:type="dxa" w:w="4896"/>
          </w:tcPr>
          <w:p>
            <w:r/>
            <w:r>
              <w:t>Omar Hernández Salmerón</w:t>
            </w:r>
          </w:p>
        </w:tc>
        <w:tc>
          <w:tcPr>
            <w:tcW w:type="dxa" w:w="4896"/>
          </w:tcPr>
          <w:p>
            <w:r/>
            <w:r>
              <w:t>______________________________</w:t>
            </w:r>
          </w:p>
        </w:tc>
      </w:tr>
    </w:tbl>
    <w:p/>
    <w:tbl>
      <w:tblPr>
        <w:tblStyle w:val="TableGrid"/>
        <w:tblW w:type="auto" w:w="0"/>
        <w:tblLayout w:type="autofit"/>
        <w:tblLook w:firstColumn="1" w:firstRow="1" w:lastColumn="0" w:lastRow="0" w:noHBand="0" w:noVBand="1" w:val="04A0"/>
      </w:tblPr>
      <w:tblGrid>
        <w:gridCol w:w="4896"/>
        <w:gridCol w:w="4896"/>
      </w:tblGrid>
      <w:tr>
        <w:tc>
          <w:tcPr>
            <w:tcW w:type="dxa" w:w="4896"/>
            <w:shd w:fill="EAF0F6"/>
          </w:tcPr>
          <w:p>
            <w:r>
              <w:rPr>
                <w:b/>
              </w:rPr>
            </w:r>
            <w:r>
              <w:rPr>
                <w:b/>
              </w:rPr>
              <w:t>Parte Receptora</w:t>
            </w:r>
          </w:p>
        </w:tc>
        <w:tc>
          <w:tcPr>
            <w:tcW w:type="dxa" w:w="4896"/>
            <w:shd w:fill="EAF0F6"/>
          </w:tcPr>
          <w:p>
            <w:r>
              <w:rPr>
                <w:b/>
              </w:rPr>
            </w:r>
            <w:r>
              <w:rPr>
                <w:b/>
              </w:rPr>
              <w:t>Firma</w:t>
            </w:r>
          </w:p>
        </w:tc>
      </w:tr>
      <w:tr>
        <w:tc>
          <w:tcPr>
            <w:tcW w:type="dxa" w:w="4896"/>
          </w:tcPr>
          <w:p>
            <w:r/>
            <w:r>
              <w:t>Nombre de la persona receptora o representante: [nombre]</w:t>
            </w:r>
          </w:p>
        </w:tc>
        <w:tc>
          <w:tcPr>
            <w:tcW w:type="dxa" w:w="4896"/>
          </w:tcPr>
          <w:p>
            <w:r/>
            <w:r>
              <w:t>______________________________</w:t>
            </w:r>
          </w:p>
        </w:tc>
      </w:tr>
      <w:tr>
        <w:tc>
          <w:tcPr>
            <w:tcW w:type="dxa" w:w="4896"/>
          </w:tcPr>
          <w:p>
            <w:r/>
            <w:r>
              <w:t>Razón social y cargo, si corresponde: [entidad y cargo]</w:t>
            </w:r>
          </w:p>
        </w:tc>
        <w:tc>
          <w:tcPr>
            <w:tcW w:type="dxa" w:w="4896"/>
          </w:tcPr>
          <w:p>
            <w:r/>
          </w:p>
        </w:tc>
      </w:tr>
    </w:tbl>
    <w:p/>
    <w:p>
      <w:r>
        <w:rPr>
          <w:b/>
        </w:rPr>
        <w:t>Fecha de firma:</w:t>
      </w:r>
      <w:r>
        <w:t xml:space="preserve"> 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E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E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para acceso a Matices</dc:title>
  <dc:subject>Plantilla de confidencialidad para el proyecto Matices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es-MX</dc:language>
</cp:coreProperties>
</file>