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Вопросы к зачету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 дисциплине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Логическое программирование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студентов гр. ВТ-2д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Утверждены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заседании кафедры ИТиКС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декабря 2014 г. , пр.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Заведующий  кафедрой ИТиКС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А.А.Брюховецкий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Типы, методы и формы представления знаний.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Основные стратегии решения задач обработки знаний.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Основные понятия функционального языка программирования: функция.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Символьные данные, S-выражения.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Элементарные функции для обработки S-выражений и предикаты.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Понятие рекурсивной функции.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Правила организации рекурсии.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Формы рекурсии.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 высших порядков. Редукция, Аккермана.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PROLOG. Определение логического программирования.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Фразы Хорна как средство представления знаний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Декларативная и процедурная семантика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Структура PROLOG-программы. 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программы в виде дерева И-ИЛИ.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Стандартные домены, предикаты.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 обработки целей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Понятие переменной в PROLOGe. Процесс унификации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Понятие фактов, запросов и правил 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с возвратом в PROLOGe. Основные правила.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с возвратом в замкнутых системах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доказательства цели в виде дерева И-ИЛИ.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Управление процессом выполнения программы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fail, cut, not.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Правила использования предиката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cut.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Зеленые и красные отсечения.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Правила использования предиката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Вопросы эффективности разработки программ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Понятие составных обьектов. Функторы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Понятие хвостовой рекурсии.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Оптимизация хвостовой рекурсии.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Механизм логического вывода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Представление цели в Прологе.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Понятие списков. Основные процедуры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Понятие деревьев в PROLOGe. Деревья как типы данных.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Основные операции с деревьями.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Понятие бинарного дерева. Упорядоченные, сбалансированные деревья.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Способы представления баз данных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Типы отношений между термами в PROLOGe: 1:1,1:N,M:1,N:M.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Нисходящий и восходящий выводы в PROLOGe.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Основные стратегии решения задач.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с предпочтением: эвристический поиск.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на основе минимаксного принципа.</w:t>
      </w:r>
    </w:p>
    <w:p>
      <w:pPr>
        <w:numPr>
          <w:ilvl w:val="0"/>
          <w:numId w:val="4"/>
        </w:numPr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Доказательство теорем методом резолюций.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Составил доцент</w:t>
        <w:tab/>
        <w:tab/>
        <w:tab/>
        <w:tab/>
        <w:tab/>
        <w:t xml:space="preserve">А.А. Брюховецкий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