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Actividad: Resolución 1514 (XV) (1960) y descolonización</w:t>
      </w:r>
    </w:p>
    <w:p>
      <w:pPr>
        <w:spacing w:after="240"/>
        <w:jc w:val="center"/>
      </w:pPr>
      <w:r>
        <w:rPr>
          <w:i/>
          <w:iCs/>
          <w:sz w:val="20"/>
          <w:szCs w:val="20"/>
        </w:rPr>
        <w:t xml:space="preserve">Estructura y dinámica de la sociedad internacional · La conformación histórica de la sociedad internacional</w:t>
      </w:r>
    </w:p>
    <w:p>
      <w:pPr>
        <w:spacing w:after="120"/>
      </w:pPr>
      <w:r>
        <w:rPr>
          <w:b/>
          <w:bCs/>
        </w:rPr>
        <w:t xml:space="preserve">Nombre y apellidos:</w:t>
      </w:r>
      <w:r>
        <w:t xml:space="preserve"> ______________________________________________</w:t>
      </w:r>
    </w:p>
    <w:p>
      <w:pPr>
        <w:spacing w:after="120"/>
      </w:pPr>
      <w:r>
        <w:rPr>
          <w:b/>
          <w:bCs/>
        </w:rPr>
        <w:t xml:space="preserve">Compañeros/as de grupo (si procede):</w:t>
      </w:r>
      <w:r>
        <w:t xml:space="preserve"> ______________________________</w:t>
      </w:r>
    </w:p>
    <w:p>
      <w:pPr>
        <w:pBdr>
          <w:bottom w:val="single" w:color="999999" w:sz="6" w:space="6"/>
        </w:pBdr>
        <w:spacing w:after="240"/>
      </w:pPr>
      <w:r>
        <w:rPr>
          <w:b/>
          <w:bCs/>
        </w:rPr>
        <w:t xml:space="preserve">Grupo:</w:t>
      </w:r>
      <w:r>
        <w:t xml:space="preserve"> ________          </w:t>
      </w:r>
      <w:r>
        <w:rPr>
          <w:b/>
          <w:bCs/>
        </w:rPr>
        <w:t xml:space="preserve">Fecha:</w:t>
      </w:r>
      <w:r>
        <w:t xml:space="preserve"> ________________</w:t>
      </w:r>
    </w:p>
    <w:p>
      <w:pPr>
        <w:pStyle w:val="Heading1"/>
        <w:spacing w:after="160" w:before="360"/>
      </w:pPr>
      <w:r>
        <w:t xml:space="preserve">Parte 1. La UNGA Resolución 1514 (XV) (1960)</w:t>
      </w:r>
    </w:p>
    <w:p>
      <w:pPr>
        <w:spacing w:after="120"/>
      </w:pPr>
      <w:r>
        <w:rPr>
          <w:i/>
          <w:iCs/>
        </w:rPr>
        <w:t xml:space="preserve">Aprobada el 14 de diciembre de 1960 con 89 votos a favor, 0 en contra y 9 abstenciones (potencias coloniales).</w:t>
      </w:r>
    </w:p>
    <w:p>
      <w:pPr>
        <w:spacing w:after="100" w:before="240"/>
      </w:pPr>
      <w:r>
        <w:rPr>
          <w:b/>
          <w:bCs/>
          <w:color w:val="1F3864"/>
        </w:rPr>
        <w:t xml:space="preserve">1. ¿Qué principios y normas de la sociedad internacional aparecen en la Resolución? ¿Qué función cumplen en el proceso de descolonización?</w:t>
      </w:r>
    </w:p>
    <w:p>
      <w:pPr>
        <w:spacing w:after="140" w:line="300"/>
        <w:jc w:val="both"/>
      </w:pPr>
      <w:r>
        <w:t xml:space="preserve">La Resolución 1514 (XV) se apoya en los principios fundacionales de la Carta de las Naciones Unidas. En su preámbulo recuerda la fe en los derechos humanos fundamentales, en la dignidad y el valor de la persona y en la igualdad de derechos “de las naciones grandes y pequeñas”, y vincula la paz y la estabilidad internacionales al respeto de esos principios. En la parte dispositiva aparecen de forma explícita el derecho de todos los pueblos a la libre determinación (punto 2), la integridad territorial y la unidad nacional (punto 6) y la igualdad soberana, la no injerencia en los asuntos internos y el respeto a la Declaración Universal de Derechos Humanos (punto 7).</w:t>
      </w:r>
    </w:p>
    <w:p>
      <w:pPr>
        <w:spacing w:after="140" w:line="300"/>
        <w:jc w:val="both"/>
      </w:pPr>
      <w:r>
        <w:t xml:space="preserve">Estos principios cumplen una función doble en el proceso de descolonización. Por un lado, deslegitiman el colonialismo: si todos los pueblos tienen derecho a decidir libremente su estatuto político, la dominación extranjera pasa a ser una violación de las normas de la sociedad internacional y no una situación aceptada. Por otro lado, dan una base jurídica a la independencia, que deja de ser una concesión de la metrópoli y se convierte en un derecho que los pueblos colonizados pueden reclamar ante la comunidad internacional. Además, la integridad territorial protegía a los nuevos Estados frente a intentos de fragmentación, aunque, como contrapartida, consolidó en la práctica las fronteras trazadas por las potencias coloniales.</w:t>
      </w:r>
    </w:p>
    <w:p>
      <w:pPr>
        <w:spacing w:after="100" w:before="240"/>
      </w:pPr>
      <w:r>
        <w:rPr>
          <w:b/>
          <w:bCs/>
          <w:color w:val="1F3864"/>
        </w:rPr>
        <w:t xml:space="preserve">2. ¿Cómo utiliza la Resolución estos principios para cuestionar y transformar el orden colonial existente?</w:t>
      </w:r>
    </w:p>
    <w:p>
      <w:pPr>
        <w:spacing w:after="140" w:line="300"/>
        <w:jc w:val="both"/>
      </w:pPr>
      <w:r>
        <w:t xml:space="preserve">La fuerza de la Resolución está en que no inventa un orden nuevo desde fuera, sino que utiliza las normas del propio orden internacional para volverlas contra el colonialismo. Las potencias coloniales habían firmado la Carta en 1945, y la Resolución les recuerda que la sujeción de los pueblos a una subyugación, dominación y explotación extranjeras “constituye una denegación de los derechos humanos fundamentales”, es contraria a la Carta y compromete la paz mundial (punto 1). Es decir, convierte el colonialismo en un problema de derechos humanos y de seguridad internacional, y no en un asunto interno de cada imperio.</w:t>
      </w:r>
    </w:p>
    <w:p>
      <w:pPr>
        <w:spacing w:after="140" w:line="300"/>
        <w:jc w:val="both"/>
      </w:pPr>
      <w:r>
        <w:t xml:space="preserve">A partir de ahí, la Resolución pasa de los principios a exigencias concretas. Pide que cese toda acción armada o medida represiva contra los pueblos dependientes (punto 4), lo que apunta directamente a guerras como la de Argelia, y exige que se tomen medidas inmediatas para traspasar todos los poderes a los pueblos de los territorios no autónomos y en fideicomiso, “sin condiciones ni reservas” y sin distinción de raza, credo o color (punto 5). Así rompe con la lógica gradualista de la Carta, que en sus capítulos XI y XII hablaba de administrar territorios y de promover progresivamente su autogobierno. Al proclamar la necesidad de poner fin “rápida e incondicionalmente” al colonialismo “en todas sus formas y manifestaciones”, la Resolución transforma la descolonización de una posibilidad a largo plazo en una obligación urgente de la comunidad internacional.</w:t>
      </w:r>
    </w:p>
    <w:p>
      <w:pPr>
        <w:spacing w:after="100" w:before="240"/>
      </w:pPr>
      <w:r>
        <w:rPr>
          <w:b/>
          <w:bCs/>
          <w:color w:val="1F3864"/>
        </w:rPr>
        <w:t xml:space="preserve">3. ¿Qué cambia con la Resolución 1514 (XV) respecto al “estándar de civilización” que hemos analizado en la sesión anterior? ¿Supone el final de las jerarquías entre los Estados?</w:t>
      </w:r>
    </w:p>
    <w:p>
      <w:pPr>
        <w:spacing w:after="140" w:line="300"/>
        <w:jc w:val="both"/>
      </w:pPr>
      <w:r>
        <w:t xml:space="preserve">El estándar de civilización establecía que solo las sociedades consideradas “civilizadas” según criterios europeos podían ser reconocidas como miembros plenos de la sociedad internacional. Las demás eran clasificadas como “semicivilizadas” o “bárbaras” y quedaban sometidas a tutela, protectorado o colonización. Esta lógica seguía presente en el siglo XX: el sistema de mandatos de la Sociedad de Naciones hablaba de pueblos “aún no capacitados para dirigirse por sí mismos” y de una “misión sagrada de civilización”, y la propia Carta de la ONU mantenía la idea de territorios que debían ser preparados para el autogobierno.</w:t>
      </w:r>
    </w:p>
    <w:p>
      <w:pPr>
        <w:spacing w:after="140" w:line="300"/>
        <w:jc w:val="both"/>
      </w:pPr>
      <w:r>
        <w:t xml:space="preserve">La Resolución 1514 rompe con este razonamiento en su punto 3, que afirma que la falta de preparación en el orden político, económico, social o educativo no deberá servir nunca de pretexto para retrasar la independencia. La soberanía deja de ser un premio que se obtiene al cumplir los criterios europeos y pasa a ser un derecho de todos los pueblos. Con ello se consagra la igualdad jurídica universal entre Estados y desaparece la jerarquía explícita que justificaba el colonialismo.</w:t>
      </w:r>
    </w:p>
    <w:p>
      <w:pPr>
        <w:spacing w:after="140" w:line="300"/>
        <w:jc w:val="both"/>
      </w:pPr>
      <w:r>
        <w:t xml:space="preserve">Sin embargo, esto no supone el final de las jerarquías. La igualdad formal convive con desigualdades muy profundas: el derecho de veto de los cinco miembros permanentes del Consejo de Seguridad, el peso desigual en instituciones como el FMI o el Banco Mundial y la dependencia económica de muchas antiguas colonias, que Nkrumah denunció como neocolonialismo. Además, el lenguaje de la “civilización” fue sustituido en parte por el del “desarrollo”, que vuelve a dividir el mundo entre países “desarrollados” y “subdesarrollados”. Por eso, desde la perspectiva decolonial se habla de colonialidad: las relaciones de poder construidas durante el colonialismo persisten después de su fin formal.</w:t>
      </w:r>
    </w:p>
    <w:p>
      <w:pPr>
        <w:pStyle w:val="Heading1"/>
        <w:spacing w:after="160" w:before="360"/>
      </w:pPr>
      <w:r>
        <w:t xml:space="preserve">Parte 2. ¿Quién construye la descolonización?</w:t>
      </w:r>
    </w:p>
    <w:p>
      <w:pPr>
        <w:spacing w:after="120"/>
      </w:pPr>
      <w:r>
        <w:rPr>
          <w:i/>
          <w:iCs/>
        </w:rPr>
        <w:t xml:space="preserve">Galiana, S. (2022). “Hacia un mundo sin colonias. El papel de los movimientos nacionalistas en la incorporación de la cuestión colonial en la agenda de las Naciones Unidas (1945-1961)”. Oasis, 35, 341-354.</w:t>
      </w:r>
    </w:p>
    <w:p>
      <w:pPr>
        <w:spacing w:after="100" w:before="240"/>
      </w:pPr>
      <w:r>
        <w:rPr>
          <w:b/>
          <w:bCs/>
          <w:color w:val="1F3864"/>
        </w:rPr>
        <w:t xml:space="preserve">1. Identificad los principales actores que aparecen en el proceso que conduce a la Resolución 1514 (XV) y qué papel desempeñan en el proceso.</w:t>
      </w:r>
    </w:p>
    <w:p>
      <w:pPr>
        <w:spacing w:after="140" w:line="300"/>
        <w:jc w:val="both"/>
      </w:pPr>
      <w:r>
        <w:t xml:space="preserve">El artículo de Galiana muestra que la descolonización no fue obra de un único actor, sino el resultado de la interacción entre varios. En primer lugar, los movimientos nacionalistas y de liberación de las colonias, especialmente en África, que llevaron la cuestión colonial a la ONU, denunciaron la represión y reclamaron la independencia. Fueron ellos quienes hicieron que la descolonización dejara de ser un tema que las metrópolis gestionaban en privado.</w:t>
      </w:r>
    </w:p>
    <w:p>
      <w:pPr>
        <w:spacing w:after="140" w:line="300"/>
        <w:jc w:val="both"/>
      </w:pPr>
      <w:r>
        <w:t xml:space="preserve">En segundo lugar, los nuevos Estados de Asia y África independizados tras 1945 (India, Indonesia, Egipto y, más tarde, Ghana), que, sobre todo a partir de Bandung, actuaron como un bloque coordinado. Desde la Asamblea General apoyaron las demandas de los movimientos nacionalistas y presentaron el proyecto que se convertiría en la Resolución 1514, copatrocinado por 43 países afroasiáticos.</w:t>
      </w:r>
    </w:p>
    <w:p>
      <w:pPr>
        <w:spacing w:after="140" w:line="300"/>
        <w:jc w:val="both"/>
      </w:pPr>
      <w:r>
        <w:t xml:space="preserve">Frente a ellos se situaban las potencias coloniales (Reino Unido, Francia, Bélgica, Portugal o España), que intentaron mantener la cuestión colonial fuera del debate internacional y que finalmente se abstuvieron en la votación. Las superpotencias de la Guerra Fría también influyeron: la URSS utilizó el anticolonialismo para ganar apoyos en el Tercer Mundo (fue Jrushchov quien propuso en 1960 una declaración sobre el fin del colonialismo), mientras que Estados Unidos se movía entre su discurso anticolonial y su alianza con las metrópolis europeas. Por último, la propia ONU actúa como escenario y como actor: fundada por las potencias vencedoras de la Segunda Guerra Mundial, acabó convirtiéndose en un foro de discusión, coordinación y aplicación de políticas contra los imperios coloniales.</w:t>
      </w:r>
    </w:p>
    <w:p>
      <w:pPr>
        <w:spacing w:after="100" w:before="240"/>
      </w:pPr>
      <w:r>
        <w:rPr>
          <w:b/>
          <w:bCs/>
          <w:color w:val="1F3864"/>
        </w:rPr>
        <w:t xml:space="preserve">2. ¿Qué procesos y acontecimientos contribuyeron a que la cuestión colonial llegara a ocupar un lugar central en la agenda de Naciones Unidas?</w:t>
      </w:r>
    </w:p>
    <w:p>
      <w:pPr>
        <w:spacing w:after="140" w:line="300"/>
        <w:jc w:val="both"/>
      </w:pPr>
      <w:r>
        <w:t xml:space="preserve">Según Galiana, dos acontecimientos de mediados de los años cincuenta fueron decisivos. La Conferencia de Bandung (Indonesia), celebrada en abril de 1955 con 29 países asiáticos y africanos, marcó el inicio de la cooperación afroasiática en las relaciones internacionales y el intento de construir una agenda propia, independiente de los intereses de las grandes potencias. En ella se condenó el colonialismo “en todas sus manifestaciones” y se defendió la autodeterminación, ideas que reaparecerían en la Resolución 1514. La crisis de Suez, en octubre de 1956, fue la confirmación de que las viejas prácticas coloniales ya no tenían cabida: la intervención de Reino Unido, Francia e Israel tras la nacionalización del canal por Nasser fracasó ante la presión de la ONU, Estados Unidos y la URSS, y dejó en evidencia el declive de los imperios europeos.</w:t>
      </w:r>
    </w:p>
    <w:p>
      <w:pPr>
        <w:spacing w:after="140" w:line="300"/>
        <w:jc w:val="both"/>
      </w:pPr>
      <w:r>
        <w:t xml:space="preserve">A estos hechos se suman los cambios dentro de las Naciones Unidas. El ingreso de 16 nuevos miembros en 1955 y, sobre todo, la llegada de 17 nuevos Estados en 1960, 16 de ellos africanos (el llamado “Año de África”), transformaron la composición de la Asamblea General y dieron la mayoría a los países que querían acabar con el colonialismo. Al mismo tiempo, las guerras coloniales, como la de Argelia, y encuentros como la Conferencia de los Pueblos Africanos de Accra (1958) mantuvieron la cuestión en primer plano. El resultado fue la aprobación de la Resolución 1514 en diciembre de 1960 y, un año después, la creación del Comité Especial de Descolonización para vigilar su cumplimiento.</w:t>
      </w:r>
    </w:p>
    <w:p>
      <w:pPr>
        <w:spacing w:after="100" w:before="240"/>
      </w:pPr>
      <w:r>
        <w:rPr>
          <w:b/>
          <w:bCs/>
          <w:color w:val="1F3864"/>
        </w:rPr>
        <w:t xml:space="preserve">3. ¿Qué nos demuestra el papel desempeñado por estos actores y procesos sobre la capacidad de los actores del Sur Global para transformar las normas y prácticas de la sociedad internacional? Relaciona tu respuesta con lo que hemos visto hasta ahora.</w:t>
      </w:r>
    </w:p>
    <w:p>
      <w:pPr>
        <w:spacing w:after="140" w:line="300"/>
        <w:jc w:val="both"/>
      </w:pPr>
      <w:r>
        <w:t xml:space="preserve">El papel de estos actores demuestra que los países y movimientos del Sur Global no fueron receptores pasivos de una sociedad internacional ya construida en Europa, sino que tuvieron capacidad para transformarla. Lo más interesante es cómo lo hicieron: no rechazaron las instituciones internacionales, sino que las utilizaron a su favor. Aprovecharon el principio de “un Estado, un voto” de la Asamblea General, el lenguaje de la Carta y de los derechos humanos y su número creciente para convertir la ONU, creada por los vencedores de la Segunda Guerra Mundial, en un espacio anticolonial.</w:t>
      </w:r>
    </w:p>
    <w:p>
      <w:pPr>
        <w:spacing w:after="140" w:line="300"/>
        <w:jc w:val="both"/>
      </w:pPr>
      <w:r>
        <w:t xml:space="preserve">De este modo consiguieron cambiar normas fundamentales. La autodeterminación, que en la Carta aparecía como un principio vago y que las potencias coloniales interpretaban de forma restrictiva, se convirtió en un derecho de todos los pueblos. Y el colonialismo, que durante siglos había sido una práctica aceptada y legitimada por el estándar de civilización, pasó a considerarse ilegítimo.</w:t>
      </w:r>
    </w:p>
    <w:p>
      <w:pPr>
        <w:spacing w:after="140" w:line="300"/>
        <w:jc w:val="both"/>
      </w:pPr>
      <w:r>
        <w:t xml:space="preserve">Esto se relaciona con lo que hemos visto en el bloque. El relato clásico de la Escuela Inglesa, de Bull y Watson, presenta la sociedad internacional como algo que nace en Europa y se expande hacia un resto del mundo que se limita a incorporarse. La descolonización muestra que esa expansión fue también un proceso de resistencia, negociación y transformación: los nuevos Estados no solo entraron en la sociedad internacional, sino que cambiaron sus reglas. Al mismo tiempo, el hecho de que tuvieran que actuar dentro de las instituciones existentes muestra también los límites de esa transformación.</w:t>
      </w:r>
    </w:p>
    <w:p>
      <w:pPr>
        <w:spacing w:after="100" w:before="240"/>
      </w:pPr>
      <w:r>
        <w:rPr>
          <w:b/>
          <w:bCs/>
          <w:color w:val="1F3864"/>
        </w:rPr>
        <w:t xml:space="preserve">4. ¿Qué nos permite ver una perspectiva postcolonial/decolonial sobre la formación de la sociedad internacional que queda menos visible en el relato tradicional de su expansión desde Europa? Justificad vuestra respuesta utilizando al menos un ejemplo de la Resolución 1514 y uno del artículo.</w:t>
      </w:r>
    </w:p>
    <w:p>
      <w:pPr>
        <w:spacing w:after="140" w:line="300"/>
        <w:jc w:val="both"/>
      </w:pPr>
      <w:r>
        <w:t xml:space="preserve">Una perspectiva postcolonial o decolonial nos permite ver que la sociedad internacional no se construyó solo desde Europa, sino también a partir de relaciones de dominación, resistencia e interacción con el resto del mundo. Como planteaba Dussel, cuando desplazamos el centro del relato fuera de Europa aparecen actores y procesos que la historia tradicional deja en segundo plano: los pueblos colonizados, sus movimientos políticos y su capacidad para disputar las normas.</w:t>
      </w:r>
    </w:p>
    <w:p>
      <w:pPr>
        <w:spacing w:after="140" w:line="300"/>
        <w:jc w:val="both"/>
      </w:pPr>
      <w:r>
        <w:t xml:space="preserve">Un ejemplo de la Resolución 1514 es su punto 3, que niega que la falta de preparación pueda justificar el retraso de la independencia. Desde el relato de la expansión, la descolonización puede parecer una ampliación natural de la sociedad internacional; sin embargo, este punto muestra que fue necesario desmontar de forma explícita la lógica del estándar de civilización, es decir, una jerarquía que había formado parte central de ese orden. Un ejemplo del artículo de Galiana es la Conferencia de Bandung: allí los países afroasiáticos intentaron construir una agenda propia, al margen de las grandes potencias, y esa agenda acabó trasladándose a la ONU. No fue Europa quien “concedió” la descolonización, sino que los actores del Sur Global la empujaron.</w:t>
      </w:r>
    </w:p>
    <w:p>
      <w:pPr>
        <w:spacing w:after="140" w:line="300"/>
        <w:jc w:val="both"/>
      </w:pPr>
      <w:r>
        <w:t xml:space="preserve">Además, esta perspectiva nos ayuda a ver lo que la descolonización no cambió. La igualdad jurídica entre Estados no eliminó las jerarquías económicas, políticas, raciales o de género construidas durante el colonialismo, que siguen estructurando la sociedad internacional. Por eso es útil distinguir entre colonialismo, la dominación política formal, y colonialidad, la persistencia de esas relaciones de poder después de la independencia.</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2026-10-06T12:46:15.489Z</dcterms:created>
  <dcterms:modified xsi:type="dcterms:W3CDTF">2026-10-06T12:46:15.491Z</dcterms:modified>
</cp:coreProperties>
</file>

<file path=docProps/custom.xml><?xml version="1.0" encoding="utf-8"?>
<Properties xmlns="http://schemas.openxmlformats.org/officeDocument/2006/custom-properties" xmlns:vt="http://schemas.openxmlformats.org/officeDocument/2006/docPropsVTypes"/>
</file>