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0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</w:tcMar>
          </w:tcPr>
          <w:p>
            <w:pPr>
              <w:spacing w:after="120" w:before="240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  <w:u w:val="single"/>
              </w:rPr>
              <w:t xml:space="preserve">JHC Service GmbH · Konrad-Adenauer-Ufer 39 · 50668 Colonia (Alemania)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 de la clínica]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[Persona de contacto]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[Calle y número]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[Código postal y localidad]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[País]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0"/>
            </w:tcMar>
          </w:tcPr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Konrad-Adenauer-Ufer 39, 50668 Colonia (Alemania)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Teléfono: +49 (0) 221 390 99 55-30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Fax: +49 (0) 221 390 99 55-89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Correo: kontakt@jhc-service.de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Web: www.jhc-service.de</w:t>
            </w:r>
          </w:p>
        </w:tc>
      </w:tr>
    </w:tbl>
    <w:p>
      <w:pPr>
        <w:spacing w:after="240" w:before="360"/>
        <w:jc w:val="righ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Colonia, octubre de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61B2E7"/>
          <w:spacing w:val="40"/>
          <w:sz w:val="18"/>
          <w:szCs w:val="18"/>
        </w:rPr>
        <w:t xml:space="preserve">Información para clientes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1F3B5C"/>
          <w:sz w:val="32"/>
          <w:szCs w:val="32"/>
        </w:rPr>
        <w:t xml:space="preserve">Nuevas tarifas de medassure beauty y nueva forma de contratar el seguro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Estimado equipo: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Les agradecemos la confianza depositada en nuestra colaboración y les informamos de algunas novedades de medassure beauty. Incorporamos la nueva tarifa Premium, ajustamos la tabla de indemnizaciones y las primas, y cambiamos la forma de contratar el seguro.</w:t>
      </w: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Lo más importante para su clínica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partir de 2027, el contrato de grupo queda reservado a las clínicas que aseguran 60 pacientes o más al año. Como su clínica asegura menos,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su contrato de grupo no se prorrogará a su vencimiento, el 1 de enero de 2027.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Desde esa fecha, sus pacientes contratarán el seguro directamente con nosotros.</w:t>
            </w:r>
          </w:p>
        </w:tc>
      </w:tr>
    </w:tbl>
    <w:p>
      <w:pPr>
        <w:spacing w:after="60"/>
      </w:pP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El paciente contrata el seguro directamente</w:t>
      </w:r>
    </w:p>
    <w:p>
      <w:pPr>
        <w:keepNext/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partir del 1 de enero de 2027, cada paciente contrata su propio seguro de complicaciones. Puede hacerlo de dos maneras.</w:t>
      </w: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Con el formulario de solicitud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paciente rellena el formulario adjunto y nos lo envía por correo electrónico a info@medassure.es a más tardar un día antes de la operación.</w:t>
      </w: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En línea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paciente también puede contratar el seguro en nuestra web, medassure.es.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En los dos casos, el propio paciente paga la prima y gestiona el seguro con nosotros. Su clínica ya no tendrá que encargarse del cobro ni de la facturación. Muchas clínicas utilizan ya este formulario y la valoración es muy positiva.</w:t>
      </w: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Tarifas Básica y Premium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Las dos tarifas cubren las mismas complicaciones. La tarifa Básica mantiene las sumas aseguradas actuales y la tarifa Premium las aumenta un 50 %.</w:t>
      </w:r>
    </w:p>
    <w:tbl>
      <w:tblPr>
        <w:tblW w:type="dxa" w:w="9906"/>
        <w:tblLayout w:type="fixed"/>
      </w:tblPr>
      <w:tblGrid>
        <w:gridCol w:w="4906"/>
        <w:gridCol w:w="2500"/>
        <w:gridCol w:w="2500"/>
      </w:tblGrid>
      <w:tr>
        <w:trPr>
          <w:cantSplit/>
          <w:tblHeader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Básica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Suma asegurada por siniestro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10.000 €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15.000 €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Suma asegurada tras cambio de médico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5.000 €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7.500 €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Recobro de la Seguridad Social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100.000 €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150.000 €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Tratamientos por intervención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3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4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Además, hemos ajustado la tabla de indemnizaciones y añadido nuevas coberturas, como la UCI privada (hasta 1.500 € en Básica y hasta 3.000 € en Premium). Encontrarán la tabla completa en el documento adjunto.</w:t>
      </w: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Cómo se calcula la prima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prima es única. Se paga una sola vez por intervención y cubre todo el periodo elegido. Para saber cuánto cuesta, basta con seguir tres pasos.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1. Categoría. </w:t>
      </w:r>
      <w:r>
        <w:rPr>
          <w:rFonts w:ascii="Calibri" w:cs="Calibri" w:eastAsia="Calibri" w:hAnsi="Calibri"/>
          <w:sz w:val="22"/>
          <w:szCs w:val="22"/>
        </w:rPr>
        <w:t xml:space="preserve">Cada tratamiento tiene una categoría, que aparece en la primera tabla de abajo. Si en la intervención se hacen varios tratamientos, cuenta el de categoría más cara.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2. Tarifa y duración. </w:t>
      </w:r>
      <w:r>
        <w:rPr>
          <w:rFonts w:ascii="Calibri" w:cs="Calibri" w:eastAsia="Calibri" w:hAnsi="Calibri"/>
          <w:sz w:val="22"/>
          <w:szCs w:val="22"/>
        </w:rPr>
        <w:t xml:space="preserve">Se elige la tarifa Básica o Premium y una duración de 1, 2 o 5 años. El precio está en la casilla donde se cruzan la categoría y la duración dentro de la tarifa elegida.</w:t>
      </w:r>
    </w:p>
    <w:p>
      <w:pPr>
        <w:keepNext/>
        <w:spacing w:after="14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3. Recargo por varios tratamientos. </w:t>
      </w:r>
      <w:r>
        <w:rPr>
          <w:rFonts w:ascii="Calibri" w:cs="Calibri" w:eastAsia="Calibri" w:hAnsi="Calibri"/>
          <w:sz w:val="22"/>
          <w:szCs w:val="22"/>
        </w:rPr>
        <w:t xml:space="preserve">Si se aseguran varios tratamientos en la misma intervención, se suma un único recargo de 50 € con 2 tratamientos, 75 € con 3 y 100 € con 4 (solo en Premium).</w:t>
      </w: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Categoría de cada tratamiento</w:t>
      </w:r>
    </w:p>
    <w:tbl>
      <w:tblPr>
        <w:tblW w:type="dxa" w:w="9906"/>
        <w:tblLayout w:type="fixed"/>
      </w:tblPr>
      <w:tblGrid>
        <w:gridCol w:w="1300"/>
        <w:gridCol w:w="8606"/>
      </w:tblGrid>
      <w:tr>
        <w:trPr>
          <w:cantSplit/>
          <w:tblHeader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Tratamientos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A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Blefaroplastia (párpados), corrección de orejas prominentes, trasplante capilar, liposucción (1 intervención)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B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Lifting facial (frente, cejas, mejillas, labios, mentón), lifting de cuello, lifting facial con grasa autóloga, corrección de cicatrices, reducción de labios vaginales, aspiración de glándulas sudoríparas, liposucción (hasta 3 intervenciones), liposucción con lifting por láser o radiofrecuencia (1 intervención)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C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Rinoplastia, abdominoplastia, lifting de brazos, lifting de muslos, lifting de glúteos, aumento de glúteos con grasa autóloga, reducción de pantorrillas, cirugía íntima o estética genital, balón gástrico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D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Reducción o elevación de mamas, mastectomía, ginecomastia, extracción de implantes mamarios, cirugía de mamas con grasa autóloga, corrección de pezones, bodylift 360° (abdomen, cintura y espalda)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E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Aumento de mamas con implantes, sustitución de implantes mamarios, aumento de glúteos con implantes, aumento de mentón con implante, aumento de pantorrillas con implantes, reducción gástrica (Overstitch, POSE, Endomina)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F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Liposucción con lifting por láser o radiofrecuencia (3 intervenciones)</w:t>
            </w:r>
          </w:p>
        </w:tc>
      </w:tr>
    </w:tbl>
    <w:p>
      <w:pPr>
        <w:spacing w:after="100"/>
      </w:pP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Primas por categoría</w:t>
      </w:r>
    </w:p>
    <w:tbl>
      <w:tblPr>
        <w:tblW w:type="dxa" w:w="9906"/>
        <w:tblLayout w:type="fixed"/>
      </w:tblPr>
      <w:tblGrid>
        <w:gridCol w:w="1906"/>
        <w:gridCol w:w="1300"/>
        <w:gridCol w:w="1300"/>
        <w:gridCol w:w="1300"/>
        <w:gridCol w:w="1366"/>
        <w:gridCol w:w="1366"/>
        <w:gridCol w:w="1368"/>
      </w:tblGrid>
      <w:tr>
        <w:trPr>
          <w:cantSplit/>
          <w:tblHeader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gridSpan w:val="3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Tarifa Básica</w:t>
            </w:r>
          </w:p>
        </w:tc>
        <w:tc>
          <w:tcPr>
            <w:tcW w:type="dxa" w:w="4100"/>
            <w:gridSpan w:val="3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Tarifa Premium</w:t>
            </w:r>
          </w:p>
        </w:tc>
      </w:tr>
      <w:tr>
        <w:trPr>
          <w:cantSplit/>
          <w:tblHeader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año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años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años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año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años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años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179 €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169 €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219 €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269 €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249 €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299 €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329 €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189 €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239 €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289 €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279 €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349 €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399 €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289 €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429 €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599 €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429 €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599 €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799 €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189 €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219 €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239 €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259 €</w:t>
            </w:r>
          </w:p>
        </w:tc>
      </w:tr>
    </w:tbl>
    <w:p>
      <w:pPr>
        <w:spacing w:after="100"/>
      </w:pP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Dos ejemplos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rinoplastia (C) con tarifa Premium durante 2 años cuesta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299 €.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rinoplastia (C) y un aumento de mamas con implantes (E) con tarifa Básica durante 1 año cuestan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339 €.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Cuenta la categoría más alta, la E, con 289 €, y se suman 50 € por ser dos tratamientos.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Las primas incluyen el impuesto sobre las primas de seguro. Los pacientes ya asegurados mantienen su póliza sin cambios hasta el final de su vigencia.</w:t>
      </w: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E3B341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¿Prevén asegurar 60 pacientes o más al año?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ese caso, su clínica puede mantener el contrato de grupo con las nuevas primas y sin recargo por varios tratamientos. Podrán dar de alta a sus pacientes en nuestro portal online y seguiremos facturando mensualmente. Escríbannos antes del 1 de enero de 2027 y les enviaremos sus datos de acceso.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consulta.</w:t>
      </w:r>
    </w:p>
    <w:p>
      <w:pPr>
        <w:spacing w:after="140"/>
      </w:pPr>
    </w:p>
    <w:p>
      <w:pPr>
        <w:keepNext/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300"/>
      </w:pP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[Nombre]</w:t>
      </w:r>
    </w:p>
    <w:p>
      <w:pPr>
        <w:keepNext/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Gerente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JHC Service GmbH</w:t>
      </w:r>
    </w:p>
    <w:sectPr>
      <w:headerReference w:type="default" r:id="rId7"/>
      <w:footerReference w:type="default" r:id="rId8"/>
      <w:pgSz w:w="11906" w:h="16838" w:orient="portrait"/>
      <w:pgMar w:top="2150" w:right="1000" w:bottom="2000" w:left="10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rFonts w:ascii="Calibri" w:cs="Calibri" w:eastAsia="Calibri" w:hAnsi="Calibri"/>
        <w:color w:val="7F8C99"/>
        <w:sz w:val="14"/>
        <w:szCs w:val="14"/>
      </w:rPr>
      <w:t xml:space="preserve">Página </w:t>
    </w:r>
    <w:r>
      <w:rPr>
        <w:rFonts w:ascii="Calibri" w:cs="Calibri" w:eastAsia="Calibri" w:hAnsi="Calibri"/>
        <w:color w:val="7F8C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8C99"/>
        <w:sz w:val="14"/>
        <w:szCs w:val="14"/>
      </w:rPr>
      <w:t xml:space="preserve"> de </w:t>
    </w:r>
    <w:r>
      <w:rPr>
        <w:rFonts w:ascii="Calibri" w:cs="Calibri" w:eastAsia="Calibri" w:hAnsi="Calibri"/>
        <w:color w:val="7F8C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  <w:tbl>
    <w:tblPr>
      <w:tblW w:type="dxa" w:w="9906"/>
      <w:tblBorders>
        <w:top w:val="single" w:color="BFC7D1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2500"/>
      <w:gridCol w:w="2406"/>
      <w:gridCol w:w="230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JHC Service GmbH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Registro Mercantil de Colonia, HRB 66200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Gerentes: Uwe Jahnke,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Christian Hoyer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N.º fiscal 215/5823/1521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Corredor de seguros autorizado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según el § 34d, apdo. 1 GewO (Alemania)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N.º de registro: D-617O-A2DK9-95</w:t>
          </w:r>
        </w:p>
      </w:tc>
      <w:tc>
        <w:tcPr>
          <w:tcW w:type="dxa" w:w="2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Commerzbank Colonia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IBAN DE16 3704 0044 0511 3311 01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BIC COBADEFFXXX</w:t>
          </w:r>
        </w:p>
      </w:tc>
      <w:tc>
        <w:tcPr>
          <w:tcW w:type="dxa" w:w="2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drawing>
              <wp:inline distT="0" distB="0" distL="0" distR="0">
                <wp:extent cx="1333500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</w:pPr>
    <w:r>
      <w:drawing>
        <wp:inline distT="0" distB="0" distL="0" distR="0">
          <wp:extent cx="171450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</w:rPr>
      <w:t xml:space="preserve">	</w:t>
    </w:r>
    <w:r>
      <w:drawing>
        <wp:inline distT="0" distB="0" distL="0" distR="0">
          <wp:extent cx="1066800" cy="695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7f3a7d60422708f9720803b636283c82b2d3d8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a17800dfa8fea6c3be7bdf4b4ace0ce5ed54ec9.png"/><Relationship Id="rId1" Type="http://schemas.openxmlformats.org/officeDocument/2006/relationships/image" Target="media/83c11143c01be09a0be4c73c12ad92387d11b7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2026-10-06T11:20:33.809Z</dcterms:created>
  <dcterms:modified xsi:type="dcterms:W3CDTF">2026-10-06T11:20:33.810Z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