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0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</w:tcMar>
          </w:tcPr>
          <w:p>
            <w:pPr>
              <w:spacing w:after="120" w:before="240"/>
            </w:pPr>
            <w:r>
              <w:rPr>
                <w:rFonts w:ascii="Calibri" w:cs="Calibri" w:eastAsia="Calibri" w:hAnsi="Calibri"/>
                <w:color w:val="7F8C99"/>
                <w:sz w:val="13"/>
                <w:szCs w:val="13"/>
                <w:u w:val="single"/>
              </w:rPr>
              <w:t xml:space="preserve">JHC Service GmbH · Konrad-Adenauer-Ufer 39 · 50668 Colonia (Alemania)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[Dr./Dra. Nombre y apellidos]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[Consulta o clínica]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[Calle y número]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[Código postal y localidad]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[País]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0"/>
            </w:tcMar>
          </w:tcPr>
          <w:p>
            <w:pPr>
              <w:spacing w:after="0" w:line="220"/>
              <w:jc w:val="right"/>
            </w:pPr>
            <w:r>
              <w:rPr>
                <w:rFonts w:ascii="Calibri" w:cs="Calibri" w:eastAsia="Calibri" w:hAnsi="Calibri"/>
                <w:color w:val="7F8C99"/>
                <w:sz w:val="13"/>
                <w:szCs w:val="13"/>
              </w:rPr>
              <w:t xml:space="preserve">Konrad-Adenauer-Ufer 39, 50668 Colonia (Alemania)</w:t>
            </w:r>
          </w:p>
          <w:p>
            <w:pPr>
              <w:spacing w:after="0" w:line="220"/>
              <w:jc w:val="right"/>
            </w:pPr>
            <w:r>
              <w:rPr>
                <w:rFonts w:ascii="Calibri" w:cs="Calibri" w:eastAsia="Calibri" w:hAnsi="Calibri"/>
                <w:color w:val="7F8C99"/>
                <w:sz w:val="13"/>
                <w:szCs w:val="13"/>
              </w:rPr>
              <w:t xml:space="preserve">Teléfono: +49 (0) 221 390 99 55-30</w:t>
            </w:r>
          </w:p>
          <w:p>
            <w:pPr>
              <w:spacing w:after="0" w:line="220"/>
              <w:jc w:val="right"/>
            </w:pPr>
            <w:r>
              <w:rPr>
                <w:rFonts w:ascii="Calibri" w:cs="Calibri" w:eastAsia="Calibri" w:hAnsi="Calibri"/>
                <w:color w:val="7F8C99"/>
                <w:sz w:val="13"/>
                <w:szCs w:val="13"/>
              </w:rPr>
              <w:t xml:space="preserve">Fax: +49 (0) 221 390 99 55-89</w:t>
            </w:r>
          </w:p>
          <w:p>
            <w:pPr>
              <w:spacing w:after="0" w:line="220"/>
              <w:jc w:val="right"/>
            </w:pPr>
            <w:r>
              <w:rPr>
                <w:rFonts w:ascii="Calibri" w:cs="Calibri" w:eastAsia="Calibri" w:hAnsi="Calibri"/>
                <w:color w:val="7F8C99"/>
                <w:sz w:val="13"/>
                <w:szCs w:val="13"/>
              </w:rPr>
              <w:t xml:space="preserve">Correo: kontakt@jhc-service.de</w:t>
            </w:r>
          </w:p>
          <w:p>
            <w:pPr>
              <w:spacing w:after="0" w:line="220"/>
              <w:jc w:val="right"/>
            </w:pPr>
            <w:r>
              <w:rPr>
                <w:rFonts w:ascii="Calibri" w:cs="Calibri" w:eastAsia="Calibri" w:hAnsi="Calibri"/>
                <w:color w:val="7F8C99"/>
                <w:sz w:val="13"/>
                <w:szCs w:val="13"/>
              </w:rPr>
              <w:t xml:space="preserve">Web: www.jhc-service.de</w:t>
            </w:r>
          </w:p>
        </w:tc>
      </w:tr>
    </w:tbl>
    <w:p>
      <w:pPr>
        <w:spacing w:after="240" w:before="360"/>
        <w:jc w:val="right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Colonia, octubre de 2026</w:t>
      </w:r>
    </w:p>
    <w:p>
      <w:pPr>
        <w:spacing w:after="40"/>
      </w:pPr>
      <w:r>
        <w:rPr>
          <w:rFonts w:ascii="Calibri" w:cs="Calibri" w:eastAsia="Calibri" w:hAnsi="Calibri"/>
          <w:b/>
          <w:bCs/>
          <w:caps/>
          <w:color w:val="61B2E7"/>
          <w:spacing w:val="40"/>
          <w:sz w:val="18"/>
          <w:szCs w:val="18"/>
        </w:rPr>
        <w:t xml:space="preserve">Información para clientes</w:t>
      </w:r>
    </w:p>
    <w:p>
      <w:pPr>
        <w:spacing w:after="280"/>
      </w:pPr>
      <w:r>
        <w:rPr>
          <w:rFonts w:ascii="Calibri" w:cs="Calibri" w:eastAsia="Calibri" w:hAnsi="Calibri"/>
          <w:b/>
          <w:bCs/>
          <w:color w:val="1F3B5C"/>
          <w:sz w:val="32"/>
          <w:szCs w:val="32"/>
        </w:rPr>
        <w:t xml:space="preserve">Nuevas tarifas de medassure beauty y nueva forma de contratar el seguro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[Estimado Dr. / Estimada Dra.] [Apellido]: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Le agradecemos la confianza depositada en nuestra colaboración y le informamos de algunas novedades de medassure beauty. Incorporamos la nueva tarifa Premium, ajustamos la tabla de indemnizaciones y las primas, y cambiamos la forma de contratar el seguro.</w:t>
      </w:r>
    </w:p>
    <w:tbl>
      <w:tblPr>
        <w:tblW w:type="dxa" w:w="9906"/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4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2"/>
                <w:szCs w:val="22"/>
              </w:rPr>
              <w:t xml:space="preserve">Lo más importante para usted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partir de 2027, el contrato de grupo queda reservado a quienes aseguran 60 pacientes o más al año. Como usted asegura menos, </w:t>
            </w:r>
            <w:r>
              <w:rPr>
                <w:rFonts w:ascii="Calibri" w:cs="Calibri" w:eastAsia="Calibri" w:hAnsi="Calibri"/>
                <w:b/>
                <w:bCs/>
                <w:color w:val="1F3B5C"/>
                <w:sz w:val="22"/>
                <w:szCs w:val="22"/>
              </w:rPr>
              <w:t xml:space="preserve">su contrato de grupo no se prorrogará a su vencimiento, el 1 de enero de 2027.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Desde esa fecha, sus pacientes contratarán el seguro directamente con nosotros.</w:t>
            </w:r>
          </w:p>
        </w:tc>
      </w:tr>
    </w:tbl>
    <w:p>
      <w:pPr>
        <w:spacing w:after="60"/>
      </w:pPr>
    </w:p>
    <w:p>
      <w:pPr>
        <w:keepNext/>
        <w:keepLines/>
        <w:pBdr>
          <w:bottom w:val="single" w:color="61B2E7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61B2E7"/>
          <w:sz w:val="26"/>
          <w:szCs w:val="26"/>
        </w:rPr>
        <w:t xml:space="preserve">1  </w:t>
      </w:r>
      <w:r>
        <w:rPr>
          <w:rFonts w:ascii="Calibri" w:cs="Calibri" w:eastAsia="Calibri" w:hAnsi="Calibri"/>
          <w:b/>
          <w:bCs/>
          <w:color w:val="1F3B5C"/>
          <w:sz w:val="26"/>
          <w:szCs w:val="26"/>
        </w:rPr>
        <w:t xml:space="preserve">El paciente contrata el seguro directamente</w:t>
      </w:r>
    </w:p>
    <w:p>
      <w:pPr>
        <w:keepNext/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A partir del 1 de enero de 2027, cada paciente contrata su propio seguro de complicaciones. Puede hacerlo de dos maneras.</w:t>
      </w:r>
    </w:p>
    <w:p>
      <w:pPr>
        <w:keepNext/>
        <w:spacing w:before="60" w:after="80" w:line="276"/>
      </w:pPr>
      <w:r>
        <w:rPr>
          <w:rFonts w:ascii="Calibri" w:cs="Calibri" w:eastAsia="Calibri" w:hAnsi="Calibri"/>
          <w:b/>
          <w:bCs/>
          <w:color w:val="1F3B5C"/>
          <w:sz w:val="22"/>
          <w:szCs w:val="22"/>
        </w:rPr>
        <w:t xml:space="preserve">Con el formulario de solicitud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El paciente rellena el formulario adjunto y nos lo envía por correo electrónico a info@medassure.es a más tardar un día antes de la operación.</w:t>
      </w:r>
    </w:p>
    <w:p>
      <w:pPr>
        <w:keepNext/>
        <w:spacing w:before="60" w:after="80" w:line="276"/>
      </w:pPr>
      <w:r>
        <w:rPr>
          <w:rFonts w:ascii="Calibri" w:cs="Calibri" w:eastAsia="Calibri" w:hAnsi="Calibri"/>
          <w:b/>
          <w:bCs/>
          <w:color w:val="1F3B5C"/>
          <w:sz w:val="22"/>
          <w:szCs w:val="22"/>
        </w:rPr>
        <w:t xml:space="preserve">En línea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El paciente también puede contratar el seguro en nuestra web, medassure.es.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En los dos casos, el propio paciente paga la prima y gestiona el seguro con nosotros. Usted ya no tendrá que encargarse del cobro ni de la facturación. Muchos médicos y clínicas utilizan ya este formulario y la valoración es muy positiva.</w:t>
      </w:r>
    </w:p>
    <w:p>
      <w:pPr>
        <w:keepNext/>
        <w:keepLines/>
        <w:pBdr>
          <w:bottom w:val="single" w:color="61B2E7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61B2E7"/>
          <w:sz w:val="26"/>
          <w:szCs w:val="26"/>
        </w:rPr>
        <w:t xml:space="preserve">2  </w:t>
      </w:r>
      <w:r>
        <w:rPr>
          <w:rFonts w:ascii="Calibri" w:cs="Calibri" w:eastAsia="Calibri" w:hAnsi="Calibri"/>
          <w:b/>
          <w:bCs/>
          <w:color w:val="1F3B5C"/>
          <w:sz w:val="26"/>
          <w:szCs w:val="26"/>
        </w:rPr>
        <w:t xml:space="preserve">Tarifas Básica y Premium</w:t>
      </w:r>
    </w:p>
    <w:p>
      <w:pPr>
        <w:keepNext/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Las dos tarifas cubren las mismas complicaciones. La tarifa Básica mantiene las sumas aseguradas actuales y la tarifa Premium las aumenta un 50 %.</w:t>
      </w:r>
    </w:p>
    <w:tbl>
      <w:tblPr>
        <w:tblW w:type="dxa" w:w="9906"/>
        <w:tblLayout w:type="fixed"/>
      </w:tblPr>
      <w:tblGrid>
        <w:gridCol w:w="4906"/>
        <w:gridCol w:w="2500"/>
        <w:gridCol w:w="2500"/>
      </w:tblGrid>
      <w:tr>
        <w:trPr>
          <w:cantSplit/>
          <w:tblHeader/>
        </w:trPr>
        <w:tc>
          <w:tcPr>
            <w:tcW w:type="dxa" w:w="4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Básica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</w:tr>
      <w:tr>
        <w:trPr>
          <w:cantSplit/>
        </w:trPr>
        <w:tc>
          <w:tcPr>
            <w:tcW w:type="dxa" w:w="4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3B5C"/>
                <w:sz w:val="20"/>
                <w:szCs w:val="20"/>
              </w:rPr>
              <w:t xml:space="preserve">Suma asegurada por siniestro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10.000 €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15.000 €</w:t>
            </w:r>
          </w:p>
        </w:tc>
      </w:tr>
      <w:tr>
        <w:trPr>
          <w:cantSplit/>
        </w:trPr>
        <w:tc>
          <w:tcPr>
            <w:tcW w:type="dxa" w:w="4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3B5C"/>
                <w:sz w:val="20"/>
                <w:szCs w:val="20"/>
              </w:rPr>
              <w:t xml:space="preserve">Suma asegurada tras cambio de médico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5.000 €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7.500 €</w:t>
            </w:r>
          </w:p>
        </w:tc>
      </w:tr>
      <w:tr>
        <w:trPr>
          <w:cantSplit/>
        </w:trPr>
        <w:tc>
          <w:tcPr>
            <w:tcW w:type="dxa" w:w="4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3B5C"/>
                <w:sz w:val="20"/>
                <w:szCs w:val="20"/>
              </w:rPr>
              <w:t xml:space="preserve">Recobro de la Seguridad Social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hasta 100.000 €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hasta 150.000 €</w:t>
            </w:r>
          </w:p>
        </w:tc>
      </w:tr>
      <w:tr>
        <w:trPr>
          <w:cantSplit/>
        </w:trPr>
        <w:tc>
          <w:tcPr>
            <w:tcW w:type="dxa" w:w="4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3B5C"/>
                <w:sz w:val="20"/>
                <w:szCs w:val="20"/>
              </w:rPr>
              <w:t xml:space="preserve">Tratamientos por intervención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hasta 3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hasta 4</w:t>
            </w:r>
          </w:p>
        </w:tc>
      </w:tr>
    </w:tbl>
    <w:p>
      <w:pPr>
        <w:spacing w:after="60"/>
      </w:pP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Además, hemos ajustado la tabla de indemnizaciones y añadido nuevas coberturas, como la UCI privada (hasta 1.500 € en Básica y hasta 3.000 € en Premium). Encontrará la tabla completa en el documento adjunto.</w:t>
      </w:r>
    </w:p>
    <w:p>
      <w:pPr>
        <w:keepNext/>
        <w:keepLines/>
        <w:pBdr>
          <w:bottom w:val="single" w:color="61B2E7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61B2E7"/>
          <w:sz w:val="26"/>
          <w:szCs w:val="26"/>
        </w:rPr>
        <w:t xml:space="preserve">3  </w:t>
      </w:r>
      <w:r>
        <w:rPr>
          <w:rFonts w:ascii="Calibri" w:cs="Calibri" w:eastAsia="Calibri" w:hAnsi="Calibri"/>
          <w:b/>
          <w:bCs/>
          <w:color w:val="1F3B5C"/>
          <w:sz w:val="26"/>
          <w:szCs w:val="26"/>
        </w:rPr>
        <w:t xml:space="preserve">Cómo se calcula la prima</w:t>
      </w:r>
    </w:p>
    <w:p>
      <w:pPr>
        <w:keepNext/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La prima es única. Se paga una sola vez por intervención y cubre todo el periodo elegido. Para saber cuánto cuesta, basta con seguir tres pasos.</w:t>
      </w:r>
    </w:p>
    <w:p>
      <w:pPr>
        <w:spacing w:after="80" w:line="276"/>
        <w:ind w:left="200"/>
      </w:pPr>
      <w:r>
        <w:rPr>
          <w:rFonts w:ascii="Calibri" w:cs="Calibri" w:eastAsia="Calibri" w:hAnsi="Calibri"/>
          <w:b/>
          <w:bCs/>
          <w:color w:val="1F3B5C"/>
          <w:sz w:val="22"/>
          <w:szCs w:val="22"/>
        </w:rPr>
        <w:t xml:space="preserve">1. Categoría. </w:t>
      </w:r>
      <w:r>
        <w:rPr>
          <w:rFonts w:ascii="Calibri" w:cs="Calibri" w:eastAsia="Calibri" w:hAnsi="Calibri"/>
          <w:sz w:val="22"/>
          <w:szCs w:val="22"/>
        </w:rPr>
        <w:t xml:space="preserve">Cada tratamiento tiene una categoría, que aparece en la primera tabla de abajo. Si en la intervención se hacen varios tratamientos, cuenta el de categoría más cara.</w:t>
      </w:r>
    </w:p>
    <w:p>
      <w:pPr>
        <w:spacing w:after="80" w:line="276"/>
        <w:ind w:left="200"/>
      </w:pPr>
      <w:r>
        <w:rPr>
          <w:rFonts w:ascii="Calibri" w:cs="Calibri" w:eastAsia="Calibri" w:hAnsi="Calibri"/>
          <w:b/>
          <w:bCs/>
          <w:color w:val="1F3B5C"/>
          <w:sz w:val="22"/>
          <w:szCs w:val="22"/>
        </w:rPr>
        <w:t xml:space="preserve">2. Tarifa y duración. </w:t>
      </w:r>
      <w:r>
        <w:rPr>
          <w:rFonts w:ascii="Calibri" w:cs="Calibri" w:eastAsia="Calibri" w:hAnsi="Calibri"/>
          <w:sz w:val="22"/>
          <w:szCs w:val="22"/>
        </w:rPr>
        <w:t xml:space="preserve">Se elige la tarifa Básica o Premium y una duración de 1, 2 o 5 años. El precio está en la casilla donde se cruzan la categoría y la duración dentro de la tarifa elegida.</w:t>
      </w:r>
    </w:p>
    <w:p>
      <w:pPr>
        <w:keepNext/>
        <w:spacing w:after="140" w:line="276"/>
        <w:ind w:left="200"/>
      </w:pPr>
      <w:r>
        <w:rPr>
          <w:rFonts w:ascii="Calibri" w:cs="Calibri" w:eastAsia="Calibri" w:hAnsi="Calibri"/>
          <w:b/>
          <w:bCs/>
          <w:color w:val="1F3B5C"/>
          <w:sz w:val="22"/>
          <w:szCs w:val="22"/>
        </w:rPr>
        <w:t xml:space="preserve">3. Recargo por varios tratamientos. </w:t>
      </w:r>
      <w:r>
        <w:rPr>
          <w:rFonts w:ascii="Calibri" w:cs="Calibri" w:eastAsia="Calibri" w:hAnsi="Calibri"/>
          <w:sz w:val="22"/>
          <w:szCs w:val="22"/>
        </w:rPr>
        <w:t xml:space="preserve">Si se aseguran varios tratamientos en la misma intervención, se suma un único recargo de 50 € con 2 tratamientos, 75 € con 3 y 100 € con 4 (solo en Premium).</w:t>
      </w:r>
    </w:p>
    <w:p>
      <w:pPr>
        <w:keepNext/>
        <w:spacing w:before="60" w:after="80" w:line="276"/>
      </w:pPr>
      <w:r>
        <w:rPr>
          <w:rFonts w:ascii="Calibri" w:cs="Calibri" w:eastAsia="Calibri" w:hAnsi="Calibri"/>
          <w:b/>
          <w:bCs/>
          <w:color w:val="1F3B5C"/>
          <w:sz w:val="22"/>
          <w:szCs w:val="22"/>
        </w:rPr>
        <w:t xml:space="preserve">Categoría de cada tratamiento</w:t>
      </w:r>
    </w:p>
    <w:tbl>
      <w:tblPr>
        <w:tblW w:type="dxa" w:w="9906"/>
        <w:tblLayout w:type="fixed"/>
      </w:tblPr>
      <w:tblGrid>
        <w:gridCol w:w="1300"/>
        <w:gridCol w:w="8606"/>
      </w:tblGrid>
      <w:tr>
        <w:trPr>
          <w:cantSplit/>
          <w:tblHeader/>
        </w:trPr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86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Tratamientos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A</w:t>
            </w:r>
          </w:p>
        </w:tc>
        <w:tc>
          <w:tcPr>
            <w:tcW w:type="dxa" w:w="86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Blefaroplastia (párpados), corrección de orejas prominentes, trasplante capilar, liposucción (1 intervención)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B</w:t>
            </w:r>
          </w:p>
        </w:tc>
        <w:tc>
          <w:tcPr>
            <w:tcW w:type="dxa" w:w="86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Lifting facial (frente, cejas, mejillas, labios, mentón), lifting de cuello, lifting facial con grasa autóloga, corrección de cicatrices, reducción de labios vaginales, aspiración de glándulas sudoríparas, liposucción (hasta 3 intervenciones), liposucción con lifting por láser o radiofrecuencia (1 intervención)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C</w:t>
            </w:r>
          </w:p>
        </w:tc>
        <w:tc>
          <w:tcPr>
            <w:tcW w:type="dxa" w:w="86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Rinoplastia, abdominoplastia, lifting de brazos, lifting de muslos, lifting de glúteos, aumento de glúteos con grasa autóloga, reducción de pantorrillas, cirugía íntima o estética genital, balón gástrico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D</w:t>
            </w:r>
          </w:p>
        </w:tc>
        <w:tc>
          <w:tcPr>
            <w:tcW w:type="dxa" w:w="86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Reducción o elevación de mamas, mastectomía, ginecomastia, extracción de implantes mamarios, cirugía de mamas con grasa autóloga, corrección de pezones, bodylift 360° (abdomen, cintura y espalda)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E</w:t>
            </w:r>
          </w:p>
        </w:tc>
        <w:tc>
          <w:tcPr>
            <w:tcW w:type="dxa" w:w="86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Aumento de mamas con implantes, sustitución de implantes mamarios, aumento de glúteos con implantes, aumento de mentón con implante, aumento de pantorrillas con implantes, reducción gástrica (Overstitch, POSE, Endomina)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F</w:t>
            </w:r>
          </w:p>
        </w:tc>
        <w:tc>
          <w:tcPr>
            <w:tcW w:type="dxa" w:w="86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Liposucción con lifting por láser o radiofrecuencia (3 intervenciones)</w:t>
            </w:r>
          </w:p>
        </w:tc>
      </w:tr>
    </w:tbl>
    <w:p>
      <w:pPr>
        <w:spacing w:after="100"/>
      </w:pPr>
    </w:p>
    <w:p>
      <w:pPr>
        <w:keepNext/>
        <w:spacing w:before="60" w:after="80" w:line="276"/>
      </w:pPr>
      <w:r>
        <w:rPr>
          <w:rFonts w:ascii="Calibri" w:cs="Calibri" w:eastAsia="Calibri" w:hAnsi="Calibri"/>
          <w:b/>
          <w:bCs/>
          <w:color w:val="1F3B5C"/>
          <w:sz w:val="22"/>
          <w:szCs w:val="22"/>
        </w:rPr>
        <w:t xml:space="preserve">Primas por categoría</w:t>
      </w:r>
    </w:p>
    <w:tbl>
      <w:tblPr>
        <w:tblW w:type="dxa" w:w="9906"/>
        <w:tblLayout w:type="fixed"/>
      </w:tblPr>
      <w:tblGrid>
        <w:gridCol w:w="1906"/>
        <w:gridCol w:w="1300"/>
        <w:gridCol w:w="1300"/>
        <w:gridCol w:w="1300"/>
        <w:gridCol w:w="1366"/>
        <w:gridCol w:w="1366"/>
        <w:gridCol w:w="1368"/>
      </w:tblGrid>
      <w:tr>
        <w:trPr>
          <w:cantSplit/>
          <w:tblHeader/>
        </w:trPr>
        <w:tc>
          <w:tcPr>
            <w:tcW w:type="dxa" w:w="1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gridSpan w:val="3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Tarifa Básica</w:t>
            </w:r>
          </w:p>
        </w:tc>
        <w:tc>
          <w:tcPr>
            <w:tcW w:type="dxa" w:w="4100"/>
            <w:gridSpan w:val="3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Tarifa Premium</w:t>
            </w:r>
          </w:p>
        </w:tc>
      </w:tr>
      <w:tr>
        <w:trPr>
          <w:cantSplit/>
          <w:tblHeader/>
        </w:trPr>
        <w:tc>
          <w:tcPr>
            <w:tcW w:type="dxa" w:w="1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 año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 años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 años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 año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 años</w:t>
            </w:r>
          </w:p>
        </w:tc>
        <w:tc>
          <w:tcPr>
            <w:tcW w:type="dxa" w:w="1368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 años</w:t>
            </w:r>
          </w:p>
        </w:tc>
      </w:tr>
      <w:tr>
        <w:trPr>
          <w:cantSplit/>
        </w:trPr>
        <w:tc>
          <w:tcPr>
            <w:tcW w:type="dxa" w:w="1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69 €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99 €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129 €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99 €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129 €</w:t>
            </w:r>
          </w:p>
        </w:tc>
        <w:tc>
          <w:tcPr>
            <w:tcW w:type="dxa" w:w="1368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149 €</w:t>
            </w:r>
          </w:p>
        </w:tc>
      </w:tr>
      <w:tr>
        <w:trPr>
          <w:cantSplit/>
        </w:trPr>
        <w:tc>
          <w:tcPr>
            <w:tcW w:type="dxa" w:w="1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B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99 €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129 €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159 €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149 €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179 €</w:t>
            </w:r>
          </w:p>
        </w:tc>
        <w:tc>
          <w:tcPr>
            <w:tcW w:type="dxa" w:w="1368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199 €</w:t>
            </w:r>
          </w:p>
        </w:tc>
      </w:tr>
      <w:tr>
        <w:trPr>
          <w:cantSplit/>
        </w:trPr>
        <w:tc>
          <w:tcPr>
            <w:tcW w:type="dxa" w:w="1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169 €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219 €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269 €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249 €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299 €</w:t>
            </w:r>
          </w:p>
        </w:tc>
        <w:tc>
          <w:tcPr>
            <w:tcW w:type="dxa" w:w="1368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329 €</w:t>
            </w:r>
          </w:p>
        </w:tc>
      </w:tr>
      <w:tr>
        <w:trPr>
          <w:cantSplit/>
        </w:trPr>
        <w:tc>
          <w:tcPr>
            <w:tcW w:type="dxa" w:w="1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D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189 €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239 €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289 €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279 €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349 €</w:t>
            </w:r>
          </w:p>
        </w:tc>
        <w:tc>
          <w:tcPr>
            <w:tcW w:type="dxa" w:w="1368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399 €</w:t>
            </w:r>
          </w:p>
        </w:tc>
      </w:tr>
      <w:tr>
        <w:trPr>
          <w:cantSplit/>
        </w:trPr>
        <w:tc>
          <w:tcPr>
            <w:tcW w:type="dxa" w:w="1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E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289 €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429 €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599 €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429 €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599 €</w:t>
            </w:r>
          </w:p>
        </w:tc>
        <w:tc>
          <w:tcPr>
            <w:tcW w:type="dxa" w:w="1368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799 €</w:t>
            </w:r>
          </w:p>
        </w:tc>
      </w:tr>
      <w:tr>
        <w:trPr>
          <w:cantSplit/>
        </w:trPr>
        <w:tc>
          <w:tcPr>
            <w:tcW w:type="dxa" w:w="1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F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159 €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189 €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219 €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209 €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239 €</w:t>
            </w:r>
          </w:p>
        </w:tc>
        <w:tc>
          <w:tcPr>
            <w:tcW w:type="dxa" w:w="1368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259 €</w:t>
            </w:r>
          </w:p>
        </w:tc>
      </w:tr>
    </w:tbl>
    <w:p>
      <w:pPr>
        <w:spacing w:after="100"/>
      </w:pPr>
    </w:p>
    <w:tbl>
      <w:tblPr>
        <w:tblW w:type="dxa" w:w="9906"/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4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2"/>
                <w:szCs w:val="22"/>
              </w:rPr>
              <w:t xml:space="preserve">Dos ejemplos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 rinoplastia (C) con tarifa Premium durante 2 años cuesta </w:t>
            </w:r>
            <w:r>
              <w:rPr>
                <w:rFonts w:ascii="Calibri" w:cs="Calibri" w:eastAsia="Calibri" w:hAnsi="Calibri"/>
                <w:b/>
                <w:bCs/>
                <w:color w:val="1F3B5C"/>
                <w:sz w:val="22"/>
                <w:szCs w:val="22"/>
              </w:rPr>
              <w:t xml:space="preserve">299 €.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 rinoplastia (C) y un aumento de mamas con implantes (E) con tarifa Básica durante 1 año cuestan </w:t>
            </w:r>
            <w:r>
              <w:rPr>
                <w:rFonts w:ascii="Calibri" w:cs="Calibri" w:eastAsia="Calibri" w:hAnsi="Calibri"/>
                <w:b/>
                <w:bCs/>
                <w:color w:val="1F3B5C"/>
                <w:sz w:val="22"/>
                <w:szCs w:val="22"/>
              </w:rPr>
              <w:t xml:space="preserve">339 €.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Cuenta la categoría más alta, la E, con 289 €, y se suman 50 € por ser dos tratamientos.</w:t>
            </w:r>
          </w:p>
        </w:tc>
      </w:tr>
    </w:tbl>
    <w:p>
      <w:pPr>
        <w:spacing w:after="60"/>
      </w:pP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Las primas incluyen el impuesto sobre las primas de seguro. Los pacientes ya asegurados mantienen su póliza sin cambios hasta el final de su vigencia.</w:t>
      </w:r>
    </w:p>
    <w:tbl>
      <w:tblPr>
        <w:tblW w:type="dxa" w:w="9906"/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E3B341" w:sz="24"/>
              <w:bottom w:val="none" w:color="FFFFFF" w:sz="0"/>
              <w:right w:val="none" w:color="FFFFFF" w:sz="0"/>
            </w:tcBorders>
            <w:shd w:fill="FFF6D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2"/>
                <w:szCs w:val="22"/>
              </w:rPr>
              <w:t xml:space="preserve">¿Prevé asegurar 60 pacientes o más al año?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 ese caso, puede mantener el contrato de grupo con las nuevas primas y sin recargo por varios tratamientos. Podrá dar de alta a sus pacientes en nuestro portal online y seguiremos facturando mensualmente. Escríbanos antes del 1 de enero de 2027 y le enviaremos sus datos de acceso.</w:t>
            </w:r>
          </w:p>
        </w:tc>
      </w:tr>
    </w:tbl>
    <w:p>
      <w:pPr>
        <w:spacing w:after="60"/>
      </w:pP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Quedamos a su disposición para cualquier consulta.</w:t>
      </w:r>
    </w:p>
    <w:p>
      <w:pPr>
        <w:spacing w:after="140"/>
      </w:pPr>
    </w:p>
    <w:p>
      <w:pPr>
        <w:keepNext/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Atentamente,</w:t>
      </w:r>
    </w:p>
    <w:p>
      <w:pPr>
        <w:spacing w:after="300"/>
      </w:pPr>
    </w:p>
    <w:p>
      <w:pPr>
        <w:keepNext/>
        <w:spacing w:after="0"/>
      </w:pPr>
      <w:r>
        <w:rPr>
          <w:rFonts w:ascii="Calibri" w:cs="Calibri" w:eastAsia="Calibri" w:hAnsi="Calibri"/>
          <w:b/>
          <w:bCs/>
          <w:color w:val="1F3B5C"/>
          <w:sz w:val="22"/>
          <w:szCs w:val="22"/>
        </w:rPr>
        <w:t xml:space="preserve">[Nombre]</w:t>
      </w:r>
    </w:p>
    <w:p>
      <w:pPr>
        <w:keepNext/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Gerente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JHC Service GmbH</w:t>
      </w:r>
    </w:p>
    <w:sectPr>
      <w:headerReference w:type="default" r:id="rId7"/>
      <w:footerReference w:type="default" r:id="rId8"/>
      <w:pgSz w:w="11906" w:h="16838" w:orient="portrait"/>
      <w:pgMar w:top="2150" w:right="1000" w:bottom="2000" w:left="1000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/>
      <w:jc w:val="right"/>
    </w:pPr>
    <w:r>
      <w:rPr>
        <w:rFonts w:ascii="Calibri" w:cs="Calibri" w:eastAsia="Calibri" w:hAnsi="Calibri"/>
        <w:color w:val="7F8C99"/>
        <w:sz w:val="14"/>
        <w:szCs w:val="14"/>
      </w:rPr>
      <w:t xml:space="preserve">Página </w:t>
    </w:r>
    <w:r>
      <w:rPr>
        <w:rFonts w:ascii="Calibri" w:cs="Calibri" w:eastAsia="Calibri" w:hAnsi="Calibri"/>
        <w:color w:val="7F8C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8C99"/>
        <w:sz w:val="14"/>
        <w:szCs w:val="14"/>
      </w:rPr>
      <w:t xml:space="preserve"> de </w:t>
    </w:r>
    <w:r>
      <w:rPr>
        <w:rFonts w:ascii="Calibri" w:cs="Calibri" w:eastAsia="Calibri" w:hAnsi="Calibri"/>
        <w:color w:val="7F8C9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  <w:tbl>
    <w:tblPr>
      <w:tblW w:type="dxa" w:w="9906"/>
      <w:tblBorders>
        <w:top w:val="single" w:color="BFC7D1" w:sz="4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700"/>
      <w:gridCol w:w="2500"/>
      <w:gridCol w:w="2406"/>
      <w:gridCol w:w="2300"/>
    </w:tblGrid>
    <w:tr>
      <w:tc>
        <w:tcPr>
          <w:tcW w:type="dxa" w:w="2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right w:type="dxa" w:w="80"/>
          </w:tcMar>
        </w:tcPr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JHC Service GmbH</w:t>
          </w:r>
        </w:p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Registro Mercantil de Colonia, HRB 66200</w:t>
          </w:r>
        </w:p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Gerentes: Uwe Jahnke,</w:t>
          </w:r>
        </w:p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Christian Hoyer</w:t>
          </w:r>
        </w:p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N.º fiscal 215/5823/1521</w:t>
          </w:r>
        </w:p>
      </w:tc>
      <w:tc>
        <w:tcPr>
          <w:tcW w:type="dxa" w:w="2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right w:type="dxa" w:w="80"/>
          </w:tcMar>
        </w:tcPr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Corredor de seguros autorizado</w:t>
          </w:r>
        </w:p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según el § 34d, apdo. 1 GewO (Alemania)</w:t>
          </w:r>
        </w:p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N.º de registro: D-617O-A2DK9-95</w:t>
          </w:r>
        </w:p>
      </w:tc>
      <w:tc>
        <w:tcPr>
          <w:tcW w:type="dxa" w:w="2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right w:type="dxa" w:w="80"/>
          </w:tcMar>
        </w:tcPr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Commerzbank Colonia</w:t>
          </w:r>
        </w:p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IBAN DE16 3704 0044 0511 3311 01</w:t>
          </w:r>
        </w:p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BIC COBADEFFXXX</w:t>
          </w:r>
        </w:p>
      </w:tc>
      <w:tc>
        <w:tcPr>
          <w:tcW w:type="dxa" w:w="23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</w:tcMar>
        </w:tcPr>
        <w:p>
          <w:pPr>
            <w:jc w:val="right"/>
          </w:pPr>
          <w:r>
            <w:drawing>
              <wp:inline distT="0" distB="0" distL="0" distR="0">
                <wp:extent cx="1333500" cy="285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</w:pPr>
    <w:r>
      <w:drawing>
        <wp:inline distT="0" distB="0" distL="0" distR="0">
          <wp:extent cx="1714500" cy="4667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</w:rPr>
      <w:t xml:space="preserve">	</w:t>
    </w:r>
    <w:r>
      <w:drawing>
        <wp:inline distT="0" distB="0" distL="0" distR="0">
          <wp:extent cx="1066800" cy="6953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95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27f3a7d60422708f9720803b636283c82b2d3d8c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a17800dfa8fea6c3be7bdf4b4ace0ce5ed54ec9.png"/><Relationship Id="rId1" Type="http://schemas.openxmlformats.org/officeDocument/2006/relationships/image" Target="media/83c11143c01be09a0be4c73c12ad92387d11b7e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2026-10-06T11:20:33.809Z</dcterms:created>
  <dcterms:modified xsi:type="dcterms:W3CDTF">2026-10-06T11:20:33.810Z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