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0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</w:tcMar>
          </w:tcPr>
          <w:p>
            <w:pPr>
              <w:spacing w:after="120" w:before="240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  <w:u w:val="single"/>
              </w:rPr>
              <w:t xml:space="preserve">JHC Service GmbH · Konrad-Adenauer-Ufer 39 · 50668 Colonia (Alemania)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 de la clínica]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[Persona de contacto]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[Calle y número]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[Código postal y localidad]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[País]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0"/>
            </w:tcMar>
          </w:tcPr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Konrad-Adenauer-Ufer 39, 50668 Colonia (Alemania)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Teléfono: +49 (0) 221 390 99 55-30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Fax: +49 (0) 221 390 99 55-89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Correo: kontakt@jhc-service.de</w:t>
            </w:r>
          </w:p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7F8C99"/>
                <w:sz w:val="13"/>
                <w:szCs w:val="13"/>
              </w:rPr>
              <w:t xml:space="preserve">Web: www.jhc-service.de</w:t>
            </w:r>
          </w:p>
        </w:tc>
      </w:tr>
    </w:tbl>
    <w:p>
      <w:pPr>
        <w:spacing w:after="240" w:before="360"/>
        <w:jc w:val="righ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Colonia, octubre de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aps/>
          <w:color w:val="61B2E7"/>
          <w:spacing w:val="40"/>
          <w:sz w:val="18"/>
          <w:szCs w:val="18"/>
        </w:rPr>
        <w:t xml:space="preserve">Información para clientes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1F3B5C"/>
          <w:sz w:val="32"/>
          <w:szCs w:val="32"/>
        </w:rPr>
        <w:t xml:space="preserve">medassure beauty: nuevas tarifas y nuevo modelo de contratación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Estimado equipo: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Les agradecemos la confianza depositada en nuestra colaboración. Hemos revisado medassure beauty: incorporamos la tarifa Premium, ajustamos la tabla de indemnizaciones, subimos ligeramente las primas y cambiamos el modelo de contratación. A continuación les resumimos qué supone para su clínica.</w:t>
      </w: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Lo más importante para su clínica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partir de 2027, el contrato de grupo queda reservado a las clínicas que aseguran 60 pacientes o más al año. Como su clínica asegura menos,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su contrato de grupo no se prorrogará a su vencimiento, el 1 de enero de 2027.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Desde esa fecha podrán elegir, en cada caso, entre las dos opciones del apartado 1.</w:t>
            </w:r>
          </w:p>
        </w:tc>
      </w:tr>
    </w:tbl>
    <w:p>
      <w:pPr>
        <w:spacing w:after="60"/>
      </w:pP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Cómo asegurar a sus pacientes desde el 1 de enero de 2027</w:t>
      </w:r>
    </w:p>
    <w:p>
      <w:pPr>
        <w:keepNext/>
        <w:spacing w:before="6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Opción 1: la clínica sigue enviando las altas por Excel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Funciona como hasta ahora, con el nuevo Excel adjunto y estos cambios:</w:t>
      </w:r>
    </w:p>
    <w:tbl>
      <w:tblPr>
        <w:tblW w:type="dxa" w:w="9906"/>
        <w:tblLayout w:type="fixed"/>
      </w:tblPr>
      <w:tblGrid>
        <w:gridCol w:w="2606"/>
        <w:gridCol w:w="3300"/>
        <w:gridCol w:w="4000"/>
      </w:tblGrid>
      <w:tr>
        <w:trPr>
          <w:cantSplit/>
          <w:tblHeader/>
        </w:trPr>
        <w:tc>
          <w:tcPr>
            <w:tcW w:type="dxa" w:w="2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Hasta ahora</w:t>
            </w:r>
          </w:p>
        </w:tc>
        <w:tc>
          <w:tcPr>
            <w:tcW w:type="dxa" w:w="40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Desde el 1 de enero de 2027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Envío de altas</w:t>
            </w:r>
          </w:p>
        </w:tc>
        <w:tc>
          <w:tcPr>
            <w:tcW w:type="dxa" w:w="3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 Excel</w:t>
            </w:r>
          </w:p>
        </w:tc>
        <w:tc>
          <w:tcPr>
            <w:tcW w:type="dxa" w:w="40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 Excel, indicando el IBAN de la clínica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Cobro de la prima</w:t>
            </w:r>
          </w:p>
        </w:tc>
        <w:tc>
          <w:tcPr>
            <w:tcW w:type="dxa" w:w="3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Facturación mensual</w:t>
            </w:r>
          </w:p>
        </w:tc>
        <w:tc>
          <w:tcPr>
            <w:tcW w:type="dxa" w:w="40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Cargo en la cuenta de la clínica en un máximo de 3 días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Plazo de envío</w:t>
            </w:r>
          </w:p>
        </w:tc>
        <w:tc>
          <w:tcPr>
            <w:tcW w:type="dxa" w:w="3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También después de la operación</w:t>
            </w:r>
          </w:p>
        </w:tc>
        <w:tc>
          <w:tcPr>
            <w:tcW w:type="dxa" w:w="40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Como mínimo 1 día antes de la operación</w:t>
            </w:r>
          </w:p>
        </w:tc>
      </w:tr>
      <w:tr>
        <w:trPr>
          <w:cantSplit/>
        </w:trPr>
        <w:tc>
          <w:tcPr>
            <w:tcW w:type="dxa" w:w="26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Varios tratamientos</w:t>
            </w:r>
          </w:p>
        </w:tc>
        <w:tc>
          <w:tcPr>
            <w:tcW w:type="dxa" w:w="3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Sin recargo</w:t>
            </w:r>
          </w:p>
        </w:tc>
        <w:tc>
          <w:tcPr>
            <w:tcW w:type="dxa" w:w="40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 recargo (véase el apartado 3)</w:t>
            </w:r>
          </w:p>
        </w:tc>
      </w:tr>
    </w:tbl>
    <w:p>
      <w:pPr>
        <w:spacing w:after="60"/>
      </w:pPr>
    </w:p>
    <w:p>
      <w:pPr>
        <w:keepNext/>
        <w:spacing w:before="120" w:after="8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Opción 2: el paciente contrata directamente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paciente rellena el formulario de solicitud adjunto y nos lo envía a info@medassure.es, o contrata en línea en medassure.es. El propio paciente paga la prima y gestiona el seguro directamente con nosotros, así que su clínica no tiene que cobrar ni facturar nada.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Pueden combinar las dos opciones y usar en cada caso la que mejor les encaje.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Tarifas Básica y Premium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Las dos tarifas cubren las mismas complicaciones. La tarifa Básica mantiene las sumas aseguradas actuales y la tarifa Premium las aumenta un 50 %:</w:t>
      </w:r>
    </w:p>
    <w:tbl>
      <w:tblPr>
        <w:tblW w:type="dxa" w:w="9906"/>
        <w:tblLayout w:type="fixed"/>
      </w:tblPr>
      <w:tblGrid>
        <w:gridCol w:w="4906"/>
        <w:gridCol w:w="2500"/>
        <w:gridCol w:w="2500"/>
      </w:tblGrid>
      <w:tr>
        <w:trPr>
          <w:cantSplit/>
          <w:tblHeader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Básica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Suma asegurada por siniestro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10.000 €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15.000 €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Suma asegurada tras cambio de médico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5.000 €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7.500 €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Recobro de la Seguridad Social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100.000 €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150.000 €</w:t>
            </w:r>
          </w:p>
        </w:tc>
      </w:tr>
      <w:tr>
        <w:trPr>
          <w:cantSplit/>
        </w:trPr>
        <w:tc>
          <w:tcPr>
            <w:tcW w:type="dxa" w:w="4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3B5C"/>
                <w:sz w:val="20"/>
                <w:szCs w:val="20"/>
              </w:rPr>
              <w:t xml:space="preserve">Tratamientos por intervención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3</w:t>
            </w:r>
          </w:p>
        </w:tc>
        <w:tc>
          <w:tcPr>
            <w:tcW w:type="dxa" w:w="25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hasta 4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También hemos ajustado la tabla de indemnizaciones y añadido conceptos nuevos, como la UCI privada (hasta 1.500 € en Básica y 3.000 € en Premium). La tabla completa está en el documento adjunto.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Cómo se calcula la prima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 prima es única: se paga una sola vez por intervención y cubre todo el periodo elegido. Se calcula en tres pasos: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1. Categoría. </w:t>
      </w:r>
      <w:r>
        <w:rPr>
          <w:rFonts w:ascii="Calibri" w:cs="Calibri" w:eastAsia="Calibri" w:hAnsi="Calibri"/>
          <w:sz w:val="22"/>
          <w:szCs w:val="22"/>
        </w:rPr>
        <w:t xml:space="preserve">Cada tratamiento tiene una categoría, de la A a la E (la de cada tratamiento está en el documento adjunto). Si en la intervención se hacen varios tratamientos, cuenta el de categoría más alta.</w:t>
      </w:r>
    </w:p>
    <w:p>
      <w:pPr>
        <w:spacing w:after="8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2. Tarifa y duración. </w:t>
      </w:r>
      <w:r>
        <w:rPr>
          <w:rFonts w:ascii="Calibri" w:cs="Calibri" w:eastAsia="Calibri" w:hAnsi="Calibri"/>
          <w:sz w:val="22"/>
          <w:szCs w:val="22"/>
        </w:rPr>
        <w:t xml:space="preserve">Elijan Básica o Premium y una duración de 1, 2 o 5 años. El precio está en la casilla donde se cruzan la categoría y la duración de la tarifa elegida.</w:t>
      </w:r>
    </w:p>
    <w:p>
      <w:pPr>
        <w:keepNext/>
        <w:spacing w:after="140" w:line="276"/>
        <w:ind w:left="20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3. Recargo por varios tratamientos. </w:t>
      </w:r>
      <w:r>
        <w:rPr>
          <w:rFonts w:ascii="Calibri" w:cs="Calibri" w:eastAsia="Calibri" w:hAnsi="Calibri"/>
          <w:sz w:val="22"/>
          <w:szCs w:val="22"/>
        </w:rPr>
        <w:t xml:space="preserve">Si se aseguran varios tratamientos en la misma intervención, se suma un único recargo: +50 € con 2 tratamientos, +75 € con 3 y +100 € con 4 (solo Premium).</w:t>
      </w:r>
    </w:p>
    <w:tbl>
      <w:tblPr>
        <w:tblW w:type="dxa" w:w="9906"/>
        <w:tblLayout w:type="fixed"/>
      </w:tblPr>
      <w:tblGrid>
        <w:gridCol w:w="1906"/>
        <w:gridCol w:w="1300"/>
        <w:gridCol w:w="1300"/>
        <w:gridCol w:w="1300"/>
        <w:gridCol w:w="1366"/>
        <w:gridCol w:w="1366"/>
        <w:gridCol w:w="1368"/>
      </w:tblGrid>
      <w:tr>
        <w:trPr>
          <w:cantSplit/>
          <w:tblHeader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Tarifa Básica</w:t>
            </w:r>
          </w:p>
        </w:tc>
        <w:tc>
          <w:tcPr>
            <w:tcW w:type="dxa" w:w="4100"/>
            <w:gridSpan w:val="3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Tarifa Premium</w:t>
            </w:r>
          </w:p>
        </w:tc>
      </w:tr>
      <w:tr>
        <w:trPr>
          <w:cantSplit/>
          <w:tblHeader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año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años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años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año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 años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1F3B5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 años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129 €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149 €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99 €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129 €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159 €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149 €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179 €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199 €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169 €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219 €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269 €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249 €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299 €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329 €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189 €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239 €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279 €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349 €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shd w:fill="EA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399 €</w:t>
            </w:r>
          </w:p>
        </w:tc>
      </w:tr>
      <w:tr>
        <w:trPr>
          <w:cantSplit/>
        </w:trPr>
        <w:tc>
          <w:tcPr>
            <w:tcW w:type="dxa" w:w="190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289 €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429 €</w:t>
            </w:r>
          </w:p>
        </w:tc>
        <w:tc>
          <w:tcPr>
            <w:tcW w:type="dxa" w:w="1300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599 €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429 €</w:t>
            </w:r>
          </w:p>
        </w:tc>
        <w:tc>
          <w:tcPr>
            <w:tcW w:type="dxa" w:w="1366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599 €</w:t>
            </w:r>
          </w:p>
        </w:tc>
        <w:tc>
          <w:tcPr>
            <w:tcW w:type="dxa" w:w="1368"/>
            <w:tcBorders>
              <w:top w:val="single" w:color="D6E6F3" w:sz="4"/>
              <w:left w:val="none" w:color="FFFFFF" w:sz="0"/>
              <w:bottom w:val="single" w:color="D6E6F3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799 €</w:t>
            </w:r>
          </w:p>
        </w:tc>
      </w:tr>
    </w:tbl>
    <w:p>
      <w:pPr>
        <w:spacing w:after="100"/>
      </w:pP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4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Ejemplos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Rinoplastia (C), tarifa Premium, 2 años: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299 €.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Rinoplastia (C) y aumento de mamas con implantes (E), tarifa Básica, 1 año: cuenta la categoría más alta, E, que son 289 €, y se suman 50 € por ser dos tratamientos. </w:t>
            </w: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Prima total: 339 €.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Las primas incluyen el impuesto sobre las primas de seguro. Los pacientes ya asegurados mantienen su póliza sin cambios hasta el final de su vigencia.</w:t>
      </w:r>
    </w:p>
    <w:p>
      <w:pPr>
        <w:keepNext/>
        <w:keepLines/>
        <w:pBdr>
          <w:bottom w:val="single" w:color="61B2E7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61B2E7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1F3B5C"/>
          <w:sz w:val="26"/>
          <w:szCs w:val="26"/>
        </w:rPr>
        <w:t xml:space="preserve">Qué tienen que hacer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Si siguen enviando las altas por Excel, </w:t>
      </w:r>
      <w:r>
        <w:rPr>
          <w:rFonts w:ascii="Calibri" w:cs="Calibri" w:eastAsia="Calibri" w:hAnsi="Calibri"/>
          <w:sz w:val="22"/>
          <w:szCs w:val="22"/>
        </w:rPr>
        <w:t xml:space="preserve">a partir del 1 de enero de 2027 usen el nuevo Excel adjunto, indiquen el IBAN de la clínica y envíennos los datos como mínimo un día antes de la operación. No podremos dar de alta a pacientes una vez pasada la fecha de la intervención.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Si prefieren que contrate el paciente, </w:t>
      </w:r>
      <w:r>
        <w:rPr>
          <w:rFonts w:ascii="Calibri" w:cs="Calibri" w:eastAsia="Calibri" w:hAnsi="Calibri"/>
          <w:sz w:val="22"/>
          <w:szCs w:val="22"/>
        </w:rPr>
        <w:t xml:space="preserve">entréguenle el formulario de solicitud adjunto para que nos lo envíe a info@medassure.es, o indíquenle que contrate en línea en medassure.es.</w:t>
      </w:r>
    </w:p>
    <w:tbl>
      <w:tblPr>
        <w:tblW w:type="dxa" w:w="9906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E3B341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color w:val="1F3B5C"/>
                <w:sz w:val="22"/>
                <w:szCs w:val="22"/>
              </w:rPr>
              <w:t xml:space="preserve">¿Prevén asegurar 60 pacientes o más al año?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 ese caso, su clínica puede mantener el contrato de grupo con las nuevas primas y sin recargo por varios tratamientos. Podrán dar de alta a sus pacientes en nuestro portal online o con el Excel, y seguiremos facturando mensualmente. Escríbannos antes del 1 de enero de 2027 y les enviaremos sus datos de acceso.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Quedamos a su disposición para cualquier consulta.</w:t>
      </w:r>
    </w:p>
    <w:p>
      <w:pPr>
        <w:spacing w:after="140"/>
      </w:pPr>
    </w:p>
    <w:p>
      <w:pPr>
        <w:keepNext/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Atentamente,</w:t>
      </w:r>
    </w:p>
    <w:p>
      <w:pPr>
        <w:spacing w:after="300"/>
      </w:pP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1F3B5C"/>
          <w:sz w:val="22"/>
          <w:szCs w:val="22"/>
        </w:rPr>
        <w:t xml:space="preserve">[Nombre]</w:t>
      </w:r>
    </w:p>
    <w:p>
      <w:pPr>
        <w:keepNext/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Gerente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JHC Service GmbH</w:t>
      </w:r>
    </w:p>
    <w:sectPr>
      <w:headerReference w:type="default" r:id="rId7"/>
      <w:footerReference w:type="default" r:id="rId8"/>
      <w:pgSz w:w="11906" w:h="16838" w:orient="portrait"/>
      <w:pgMar w:top="2150" w:right="1000" w:bottom="2000" w:left="10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right"/>
    </w:pPr>
    <w:r>
      <w:rPr>
        <w:rFonts w:ascii="Calibri" w:cs="Calibri" w:eastAsia="Calibri" w:hAnsi="Calibri"/>
        <w:color w:val="7F8C99"/>
        <w:sz w:val="14"/>
        <w:szCs w:val="14"/>
      </w:rPr>
      <w:t xml:space="preserve">Página </w:t>
    </w:r>
    <w:r>
      <w:rPr>
        <w:rFonts w:ascii="Calibri" w:cs="Calibri" w:eastAsia="Calibri" w:hAnsi="Calibri"/>
        <w:color w:val="7F8C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8C99"/>
        <w:sz w:val="14"/>
        <w:szCs w:val="14"/>
      </w:rPr>
      <w:t xml:space="preserve"> de </w:t>
    </w:r>
    <w:r>
      <w:rPr>
        <w:rFonts w:ascii="Calibri" w:cs="Calibri" w:eastAsia="Calibri" w:hAnsi="Calibri"/>
        <w:color w:val="7F8C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  <w:tbl>
    <w:tblPr>
      <w:tblW w:type="dxa" w:w="9906"/>
      <w:tblBorders>
        <w:top w:val="single" w:color="BFC7D1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700"/>
      <w:gridCol w:w="2500"/>
      <w:gridCol w:w="2406"/>
      <w:gridCol w:w="2300"/>
    </w:tblGrid>
    <w:tr>
      <w:tc>
        <w:tcPr>
          <w:tcW w:type="dxa" w:w="27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JHC Service GmbH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Registro Mercantil de Colonia, HRB 66200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Gerentes: Uwe Jahnke,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Christian Hoyer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N.º fiscal 215/5823/1521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Corredor de seguros autorizado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según el § 34d, apdo. 1 GewO (Alemania)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N.º de registro: D-617O-A2DK9-95</w:t>
          </w:r>
        </w:p>
      </w:tc>
      <w:tc>
        <w:tcPr>
          <w:tcW w:type="dxa" w:w="2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right w:type="dxa" w:w="80"/>
          </w:tcMar>
        </w:tcPr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Commerzbank Colonia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IBAN DE16 3704 0044 0511 3311 01</w:t>
          </w:r>
        </w:p>
        <w:p>
          <w:pPr>
            <w:spacing w:after="0" w:line="220"/>
            <w:jc w:val="left"/>
          </w:pPr>
          <w:r>
            <w:rPr>
              <w:rFonts w:ascii="Calibri" w:cs="Calibri" w:eastAsia="Calibri" w:hAnsi="Calibri"/>
              <w:color w:val="7F8C99"/>
              <w:sz w:val="13"/>
              <w:szCs w:val="13"/>
            </w:rPr>
            <w:t xml:space="preserve">BIC COBADEFFXXX</w:t>
          </w:r>
        </w:p>
      </w:tc>
      <w:tc>
        <w:tcPr>
          <w:tcW w:type="dxa" w:w="2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drawing>
              <wp:inline distT="0" distB="0" distL="0" distR="0">
                <wp:extent cx="1333500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</w:pPr>
    <w:r>
      <w:drawing>
        <wp:inline distT="0" distB="0" distL="0" distR="0">
          <wp:extent cx="171450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</w:rPr>
      <w:t xml:space="preserve">	</w:t>
    </w:r>
    <w:r>
      <w:drawing>
        <wp:inline distT="0" distB="0" distL="0" distR="0">
          <wp:extent cx="1066800" cy="695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27f3a7d60422708f9720803b636283c82b2d3d8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17800dfa8fea6c3be7bdf4b4ace0ce5ed54ec9.png"/><Relationship Id="rId1" Type="http://schemas.openxmlformats.org/officeDocument/2006/relationships/image" Target="media/83c11143c01be09a0be4c73c12ad92387d11b7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2026-10-06T11:20:33.809Z</dcterms:created>
  <dcterms:modified xsi:type="dcterms:W3CDTF">2026-10-06T11:20:33.810Z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