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Actividad: Resolución 1514 (XV) (1960) y descolonización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Estructura y dinámica de la sociedad internacional · La conformación histórica de la sociedad internacional</w:t>
      </w:r>
    </w:p>
    <w:p>
      <w:pPr>
        <w:spacing w:after="120"/>
      </w:pPr>
      <w:r>
        <w:rPr>
          <w:b/>
          <w:bCs/>
        </w:rPr>
        <w:t xml:space="preserve">Nombre y apellidos:</w:t>
      </w:r>
      <w:r>
        <w:t xml:space="preserve"> ______________________________________________</w:t>
      </w:r>
    </w:p>
    <w:p>
      <w:pPr>
        <w:spacing w:after="120"/>
      </w:pPr>
      <w:r>
        <w:rPr>
          <w:b/>
          <w:bCs/>
        </w:rPr>
        <w:t xml:space="preserve">Compañeros/as de grupo (si procede):</w:t>
      </w:r>
      <w:r>
        <w:t xml:space="preserve"> ______________________________</w:t>
      </w:r>
    </w:p>
    <w:p>
      <w:pPr>
        <w:pBdr>
          <w:bottom w:val="single" w:color="999999" w:sz="6" w:space="6"/>
        </w:pBdr>
        <w:spacing w:after="240"/>
      </w:pPr>
      <w:r>
        <w:rPr>
          <w:b/>
          <w:bCs/>
        </w:rPr>
        <w:t xml:space="preserve">Grupo:</w:t>
      </w:r>
      <w:r>
        <w:t xml:space="preserve"> ________          </w:t>
      </w:r>
      <w:r>
        <w:rPr>
          <w:b/>
          <w:bCs/>
        </w:rPr>
        <w:t xml:space="preserve">Fecha:</w:t>
      </w:r>
      <w:r>
        <w:t xml:space="preserve"> ________________</w:t>
      </w:r>
    </w:p>
    <w:p>
      <w:pPr>
        <w:pStyle w:val="Heading1"/>
        <w:spacing w:after="160" w:before="360"/>
      </w:pPr>
      <w:r>
        <w:t xml:space="preserve">Parte 1. La UNGA Resolución 1514 (XV) (1960)</w:t>
      </w:r>
    </w:p>
    <w:p>
      <w:pPr>
        <w:spacing w:after="120"/>
      </w:pPr>
      <w:r>
        <w:rPr>
          <w:i/>
          <w:iCs/>
        </w:rPr>
        <w:t xml:space="preserve">Aprobada el 14 de diciembre de 1960 con 89 votos a favor, 0 en contra y 9 abstenciones (potencias coloniales).</w:t>
      </w:r>
    </w:p>
    <w:p>
      <w:pPr>
        <w:spacing w:after="100" w:before="240"/>
      </w:pPr>
      <w:r>
        <w:rPr>
          <w:b/>
          <w:bCs/>
          <w:color w:val="1F3864"/>
        </w:rPr>
        <w:t xml:space="preserve">1. ¿Qué principios y normas de la sociedad internacional aparecen en la Resolución? ¿Qué función cumplen en el proceso de descolonización?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Autodeterminación de los pueblos (punto 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Derechos humanos fundamentales y dignidad (punto 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Igualdad de derechos de naciones grandes y pequeñas (preámbulo).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Integridad territorial y no injerencia (puntos 6 y 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Paz y cooperación internacionales.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Función:</w:t>
      </w:r>
      <w:r>
        <w:t xml:space="preserve"> convierten el colonialismo en una violación de la Carta y legitiman la independencia como un derecho.</w:t>
      </w:r>
    </w:p>
    <w:p>
      <w:pPr>
        <w:spacing w:after="100" w:before="240"/>
      </w:pPr>
      <w:r>
        <w:rPr>
          <w:b/>
          <w:bCs/>
          <w:color w:val="1F3864"/>
        </w:rPr>
        <w:t xml:space="preserve">2. ¿Cómo utiliza la Resolución estos principios para cuestionar y transformar el orden colonial existente?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las normas del propio orden (Carta de la ONU) contra él: la dominación extranjera “niega los derechos humanos fundamentales” (punto 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Exige transferir el poder de inmediato, “sin condiciones ni reservas” (punto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Exige el cese de la represión armada contra los pueblos dependientes (punto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Condena el colonialismo “en todas sus formas y manifestaciones”.</w:t>
      </w:r>
    </w:p>
    <w:p>
      <w:pPr>
        <w:spacing w:after="100" w:before="240"/>
      </w:pPr>
      <w:r>
        <w:rPr>
          <w:b/>
          <w:bCs/>
          <w:color w:val="1F3864"/>
        </w:rPr>
        <w:t xml:space="preserve">3. ¿Qué cambia con la Resolución 1514 (XV) respecto al “estándar de civilización”? ¿Supone el final de las jerarquías entre los Estados?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punto 3 establece que la falta de preparación política, económica, social o educativa nunca justifica retrasar la independencia: anula el criterio “civilizatorio” para acceder a la soberanía.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acaba con las jerarquías: veto del P5, dependencia económica (neocolonialismo), discurso “desarrollado/subdesarrollado”. La igualdad jurídica no equivale a igualdad material.</w:t>
      </w:r>
    </w:p>
    <w:p>
      <w:pPr>
        <w:pStyle w:val="Heading1"/>
        <w:spacing w:after="160" w:before="360"/>
      </w:pPr>
      <w:r>
        <w:t xml:space="preserve">Parte 2. ¿Quién construye la descolonización?</w:t>
      </w:r>
    </w:p>
    <w:p>
      <w:pPr>
        <w:spacing w:after="120"/>
      </w:pPr>
      <w:r>
        <w:rPr>
          <w:i/>
          <w:iCs/>
        </w:rPr>
        <w:t xml:space="preserve">A partir de Galiana, “Hacia un mundo sin colonias. El papel de los movimientos nacionalistas en la incorporación de la cuestión colonial en la agenda de las Naciones Unidas (1945-1961)”.</w:t>
      </w:r>
    </w:p>
    <w:p>
      <w:pPr>
        <w:spacing w:after="100" w:before="240"/>
      </w:pPr>
      <w:r>
        <w:rPr>
          <w:b/>
          <w:bCs/>
          <w:color w:val="1F3864"/>
        </w:rPr>
        <w:t xml:space="preserve">1. Identificad los principales actores que aparecen en el proceso que conduce a la Resolución 1514 (XV) y qué papel desempeñan en el proceso.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Movimientos nacionalistas y de liberación</w:t>
      </w:r>
      <w:r>
        <w:t xml:space="preserve"> (p. ej., el FLN argelino): presionan e internacionalizan su causa ante la ONU.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Nuevos Estados afroasiáticos</w:t>
      </w:r>
      <w:r>
        <w:t xml:space="preserve"> (India, Indonesia, Egipto, Ghana): actúan como bloque en la Asamblea General y redactan la 1514.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Potencias coloniales:</w:t>
      </w:r>
      <w:r>
        <w:t xml:space="preserve"> se resisten y se abstienen.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Guerra Fría:</w:t>
      </w:r>
      <w:r>
        <w:t xml:space="preserve"> la URSS impulsa el tema (Jrushchov, 1960); EE. UU. se mantiene ambiguo.</w:t>
      </w:r>
    </w:p>
    <w:p>
      <w:pPr>
        <w:spacing w:after="100" w:before="240"/>
      </w:pPr>
      <w:r>
        <w:rPr>
          <w:b/>
          <w:bCs/>
          <w:color w:val="1F3864"/>
        </w:rPr>
        <w:t xml:space="preserve">2. ¿Qué procesos y acontecimientos contribuyeron a que la cuestión colonial llegara a ocupar un lugar central en la agenda de Naciones Unidas?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Conferencia de Bandung (1955):</w:t>
      </w:r>
      <w:r>
        <w:t xml:space="preserve"> solidaridad afroasiática y condena del colonialismo.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Crisis de Suez (1956):</w:t>
      </w:r>
      <w:r>
        <w:t xml:space="preserve"> debilita a Reino Unido y Francia.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Ingreso masivo de nuevos miembros</w:t>
      </w:r>
      <w:r>
        <w:t xml:space="preserve"> (1955 y 1960, “Año de África”, 17 Estados africanos): cambia la mayoría en la Asamblea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Guerras coloniales</w:t>
      </w:r>
      <w:r>
        <w:t xml:space="preserve"> (Argelia) y Conferencia de los Pueblos Africanos (Accra, 1958).</w:t>
      </w:r>
    </w:p>
    <w:p>
      <w:pPr>
        <w:spacing w:after="100" w:before="240"/>
      </w:pPr>
      <w:r>
        <w:rPr>
          <w:b/>
          <w:bCs/>
          <w:color w:val="1F3864"/>
        </w:rPr>
        <w:t xml:space="preserve">3. ¿Qué nos demuestra el papel desempeñado por estos actores y procesos sobre la capacidad de los actores del Sur Global para transformar las normas y prácticas de la sociedad internacional?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fueron receptores pasivos: usaron las instituciones del orden (Asamblea General, Carta, mayoría de votos) para cambiar sus normas.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Convirtieron la autodeterminación, un principio vago de la Carta, en un derecho.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Frente al relato de Bull y Watson, la sociedad internacional no solo se expandió desde Europa: también se transformó desde abajo.</w:t>
      </w:r>
    </w:p>
    <w:p>
      <w:pPr>
        <w:spacing w:after="100" w:before="240"/>
      </w:pPr>
      <w:r>
        <w:rPr>
          <w:b/>
          <w:bCs/>
          <w:color w:val="1F3864"/>
        </w:rPr>
        <w:t xml:space="preserve">4. ¿Qué nos permite ver una perspectiva postcolonial/decolonial sobre la formación de la sociedad internacional que queda menos visible en el relato tradicional de su expansión desde Europa?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Hace visibles la agencia, la resistencia y el conflicto que el relato de la “expansión” oculta.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 de la Resolución:</w:t>
      </w:r>
      <w:r>
        <w:t xml:space="preserve"> el punto 3 rechaza la lógica del estándar de civilización.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 del artículo:</w:t>
      </w:r>
      <w:r>
        <w:t xml:space="preserve"> Bandung y el bloque afroasiático situaron la cuestión colonial en la agenda de la ONU.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También revela la persistencia de jerarquías tras la independencia (colonialidad).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2026-10-06T12:36:27.889Z</dcterms:created>
  <dcterms:modified xsi:type="dcterms:W3CDTF">2026-10-06T12:36:27.897Z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