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06"/>
        <w:gridCol w:w="4000"/>
      </w:tblGrid>
      <w:tr>
        <w:tc>
          <w:tcPr>
            <w:tcW w:type="dxa" w:w="5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</w:tcMar>
          </w:tcPr>
          <w:p>
            <w:pPr>
              <w:spacing w:after="120" w:before="240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  <w:u w:val="single"/>
              </w:rPr>
              <w:t xml:space="preserve">JHC Service GmbH · Konrad-Adenauer-Ufer 39 · 50668 Colonia (Alemania)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[Nombre de la clínica]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[Persona de contacto]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[Calle y número]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[Código postal y localidad]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[País]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0"/>
            </w:tcMar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Konrad-Adenauer-Ufer 39, 50668 Colonia (Alemania)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Teléfono: +49 (0) 221 390 99 55-30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Fax: +49 (0) 221 390 99 55-89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Correo: kontakt@jhc-service.de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Web: www.jhc-service.de</w:t>
            </w:r>
          </w:p>
        </w:tc>
      </w:tr>
    </w:tbl>
    <w:p>
      <w:pPr>
        <w:spacing w:after="240" w:before="360"/>
        <w:jc w:val="right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Colonia, octubre de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aps/>
          <w:color w:val="61B2E7"/>
          <w:spacing w:val="40"/>
          <w:sz w:val="18"/>
          <w:szCs w:val="18"/>
        </w:rPr>
        <w:t xml:space="preserve">Información para clientes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1F3B5C"/>
          <w:sz w:val="32"/>
          <w:szCs w:val="32"/>
        </w:rPr>
        <w:t xml:space="preserve">medassure beauty: nuevas tarifas, primas y formas de dar de alta a los pacientes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Estimados señores: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Les agradecemos la confianza depositada en nuestra colaboración y les informamos de algunas novedades de medassure beauty.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1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Primera actualización de primas en ocho años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En los últimos años, el coste de tratar las complicaciones tras una operación estética ha aumentado considerablemente, sobre todo en estancias hospitalarias, reintervenciones, personal y material. Para mantener la calidad de las prestaciones y de la gestión de siniestros a la que están acostumbrados, ajustamos ligeramente nuestras primas por primera vez en ocho años. Se mantienen las primas únicas para 1, 2 o 5 años. Los contratos en vigor siguen sin cambios hasta su vencimiento.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2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Novedad: la tarifa Premium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La nueva tarifa Premium ofrece las mismas prestaciones que la tarifa Básica, con sumas aseguradas un 50 % más altas: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6"/>
        <w:gridCol w:w="2500"/>
        <w:gridCol w:w="2500"/>
      </w:tblGrid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Prestación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Básica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Premium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Suma asegurada por siniestro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10.000 €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15.000 €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Suma asegurada tras cambio de médico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5.000 €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7.500 €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Reembolso a la Seguridad Social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100.000 €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150.000 €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Tratamientos por intervención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3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4</w:t>
            </w:r>
          </w:p>
        </w:tc>
      </w:tr>
    </w:tbl>
    <w:p>
      <w:pPr>
        <w:spacing w:after="14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Además, la tabla de prestaciones incluye nuevas coberturas, como la UCI privada (hasta 1.500 € en Básica y hasta 3.000 € en Premium).</w:t>
      </w:r>
    </w:p>
    <w:p>
      <w:pPr>
        <w:keepNext/>
        <w:spacing w:after="14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Nuevas primas (prima única para 1 / 2 / 5 años)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6"/>
        <w:gridCol w:w="3800"/>
        <w:gridCol w:w="3800"/>
      </w:tblGrid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Básica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Premium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A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69 / 99 / 129 €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99 / 129 / 149 €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B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99 / 129 / 159 €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149 / 179 / 199 €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C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169 / 219 / 269 €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249 / 299 / 329 €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D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189 / 239 / 289 €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279 / 349 / 399 €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E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289 / 429 / 599 €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429 / 599 / 799 €</w:t>
            </w:r>
          </w:p>
        </w:tc>
      </w:tr>
    </w:tbl>
    <w:p>
      <w:pPr>
        <w:spacing w:after="14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En el resumen adjunto encontrarán a qué categoría corresponde cada intervención.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3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Contrato de grupo y nuevo portal online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Su contrato de grupo continúa con las nuevas primas. A partir de ahora, también pueden dar de alta a sus pacientes directamente desde la clínica a través de nuestro portal. El paciente recibe la confirmación del seguro por correo electrónico en pocos minutos. La facturación sigue siendo mensual. Adjuntamos una guía paso a paso.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Si lo prefieren, pueden seguir comunicándonos sus pacientes mediante una lista en Excel. Indíquennos qué opción eligen; si optan por el portal, les enviaremos sus datos de acceso de inmediato.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4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Mínimo de contratos a partir de 2027: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partir del año natural 2027, los contratos de grupo requieren un mínimo de 60 contratos al año.</w:t>
            </w:r>
          </w:p>
        </w:tc>
      </w:tr>
    </w:tbl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4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Alternativa: contratación directa por el paciente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Si prevén que su clínica no alcanzará este mínimo, pueden pasar al modelo de contratación por el paciente a partir del 1 de enero de 2027. En ese caso, el propio paciente contrata el seguro con el formulario de solicitud adjunto (enviándolo por correo electrónico a info@medassure.es) o en línea en medassure.es, y nos paga la prima directamente. Su clínica ya no tendrá que encargarse del cobro ni de la facturación. Muchas clínicas utilizan ya este formulario y la valoración es muy positiva. Para el cambio basta con que nos envíen un breve mensaje.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Quedamos a su disposición para cualquier consulta.</w:t>
      </w:r>
    </w:p>
    <w:p>
      <w:pPr>
        <w:spacing w:after="60"/>
      </w:pPr>
    </w:p>
    <w:p>
      <w:pPr>
        <w:keepNext/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Atentamente,</w:t>
      </w:r>
    </w:p>
    <w:p>
      <w:pPr>
        <w:spacing w:after="300"/>
      </w:pP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[Nombre]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Gerente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JHC Service GmbH</w:t>
      </w:r>
    </w:p>
    <w:sectPr>
      <w:headerReference w:type="default" r:id="rId7"/>
      <w:footerReference w:type="default" r:id="rId8"/>
      <w:pgSz w:w="11906" w:h="16838" w:orient="portrait"/>
      <w:pgMar w:top="2150" w:right="1000" w:bottom="2000" w:left="100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right"/>
    </w:pPr>
    <w:r>
      <w:rPr>
        <w:rFonts w:ascii="Calibri" w:cs="Calibri" w:eastAsia="Calibri" w:hAnsi="Calibri"/>
        <w:color w:val="7F8C99"/>
        <w:sz w:val="14"/>
        <w:szCs w:val="14"/>
      </w:rPr>
      <w:t xml:space="preserve">Página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8C99"/>
        <w:sz w:val="14"/>
        <w:szCs w:val="14"/>
      </w:rPr>
      <w:t xml:space="preserve"> de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tbl>
    <w:tblPr>
      <w:tblW w:type="dxa" w:w="9906"/>
      <w:tblBorders>
        <w:top w:val="single" w:color="BFC7D1" w:sz="4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2500"/>
      <w:gridCol w:w="2406"/>
      <w:gridCol w:w="230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JHC Service GmbH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Registro Mercantil de Colonia, HRB 66200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Gerentes: Uwe Jahnke,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Christian Hoyer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fiscal 215/5823/1521</w:t>
          </w:r>
        </w:p>
      </w:tc>
      <w:tc>
        <w:tcPr>
          <w:tcW w:type="dxa" w:w="2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Corredor de seguros autorizado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según el § 34d, apdo. 1 GewO (Alemania)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de registro: D-617O-A2DK9-95</w:t>
          </w:r>
        </w:p>
      </w:tc>
      <w:tc>
        <w:tcPr>
          <w:tcW w:type="dxa" w:w="24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Commerzbank Colonia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IBAN DE16 3704 0044 0511 3311 01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BIC COBADEFFXXX</w:t>
          </w:r>
        </w:p>
      </w:tc>
      <w:tc>
        <w:tcPr>
          <w:tcW w:type="dxa" w:w="2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1333500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</w:pPr>
    <w:r>
      <w:drawing>
        <wp:inline distT="0" distB="0" distL="0" distR="0">
          <wp:extent cx="1714500" cy="4667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	</w:t>
    </w:r>
    <w:r>
      <w:drawing>
        <wp:inline distT="0" distB="0" distL="0" distR="0">
          <wp:extent cx="1066800" cy="695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95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7f3a7d60422708f9720803b636283c82b2d3d8c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a17800dfa8fea6c3be7bdf4b4ace0ce5ed54ec9.png"/><Relationship Id="rId1" Type="http://schemas.openxmlformats.org/officeDocument/2006/relationships/image" Target="media/83c11143c01be09a0be4c73c12ad92387d11b7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2026-10-06T11:20:33.809Z</dcterms:created>
  <dcterms:modified xsi:type="dcterms:W3CDTF">2026-10-06T11:20:33.810Z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