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06"/>
        <w:gridCol w:w="4000"/>
      </w:tblGrid>
      <w:tr>
        <w:tc>
          <w:tcPr>
            <w:tcW w:type="dxa" w:w="5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0"/>
            </w:tcMar>
          </w:tcPr>
          <w:p>
            <w:pPr>
              <w:spacing w:after="120" w:before="240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  <w:u w:val="single"/>
              </w:rPr>
              <w:t xml:space="preserve">JHC Service GmbH · Konrad-Adenauer-Ufer 39 · 50668 Colonia (Alemania)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[Nombre de la clínica]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[Persona de contacto]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[Calle y número]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[Código postal y localidad]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[País]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0"/>
            </w:tcMar>
          </w:tcPr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</w:rPr>
              <w:t xml:space="preserve">Konrad-Adenauer-Ufer 39, 50668 Colonia (Alemania)</w:t>
            </w:r>
          </w:p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</w:rPr>
              <w:t xml:space="preserve">Teléfono: +49 (0) 221 390 99 55-30</w:t>
            </w:r>
          </w:p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</w:rPr>
              <w:t xml:space="preserve">Fax: +49 (0) 221 390 99 55-89</w:t>
            </w:r>
          </w:p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</w:rPr>
              <w:t xml:space="preserve">Correo: kontakt@jhc-service.de</w:t>
            </w:r>
          </w:p>
          <w:p>
            <w:pPr>
              <w:spacing w:after="0" w:line="220"/>
              <w:jc w:val="right"/>
            </w:pPr>
            <w:r>
              <w:rPr>
                <w:rFonts w:ascii="Calibri" w:cs="Calibri" w:eastAsia="Calibri" w:hAnsi="Calibri"/>
                <w:color w:val="7F8C99"/>
                <w:sz w:val="13"/>
                <w:szCs w:val="13"/>
              </w:rPr>
              <w:t xml:space="preserve">Web: www.jhc-service.de</w:t>
            </w:r>
          </w:p>
        </w:tc>
      </w:tr>
    </w:tbl>
    <w:p>
      <w:pPr>
        <w:spacing w:after="240" w:before="360"/>
        <w:jc w:val="right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Colonia, octubre de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caps/>
          <w:color w:val="61B2E7"/>
          <w:spacing w:val="40"/>
          <w:sz w:val="18"/>
          <w:szCs w:val="18"/>
        </w:rPr>
        <w:t xml:space="preserve">Información para clientes</w:t>
      </w:r>
    </w:p>
    <w:p>
      <w:pPr>
        <w:spacing w:after="280"/>
      </w:pPr>
      <w:r>
        <w:rPr>
          <w:rFonts w:ascii="Calibri" w:cs="Calibri" w:eastAsia="Calibri" w:hAnsi="Calibri"/>
          <w:b/>
          <w:bCs/>
          <w:color w:val="1F3B5C"/>
          <w:sz w:val="32"/>
          <w:szCs w:val="32"/>
        </w:rPr>
        <w:t xml:space="preserve">medassure beauty: nuevas tarifas, primas y formas de dar de alta a los pacientes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Estimado equipo: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Les agradecemos la confianza depositada en nuestra colaboración y les informamos de algunas novedades de medassure beauty.</w:t>
      </w:r>
    </w:p>
    <w:p>
      <w:pPr>
        <w:keepNext/>
        <w:keepLines/>
        <w:pBdr>
          <w:bottom w:val="single" w:color="61B2E7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61B2E7"/>
          <w:sz w:val="26"/>
          <w:szCs w:val="26"/>
        </w:rPr>
        <w:t xml:space="preserve">1  </w:t>
      </w:r>
      <w:r>
        <w:rPr>
          <w:rFonts w:ascii="Calibri" w:cs="Calibri" w:eastAsia="Calibri" w:hAnsi="Calibri"/>
          <w:b/>
          <w:bCs/>
          <w:color w:val="1F3B5C"/>
          <w:sz w:val="26"/>
          <w:szCs w:val="26"/>
        </w:rPr>
        <w:t xml:space="preserve">Primera actualización de primas en ocho años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En los últimos años, el coste de tratar las complicaciones tras una operación estética ha aumentado considerablemente, sobre todo en estancias hospitalarias, reintervenciones, personal y material. Para mantener la calidad habitual de las prestaciones y de la gestión de siniestros, ajustamos ligeramente nuestras primas por primera vez en ocho años. Se mantienen las primas únicas para 1, 2 o 5 años. Los contratos en vigor siguen sin cambios hasta su vencimiento.</w:t>
      </w:r>
    </w:p>
    <w:p>
      <w:pPr>
        <w:keepNext/>
        <w:keepLines/>
        <w:pBdr>
          <w:bottom w:val="single" w:color="61B2E7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61B2E7"/>
          <w:sz w:val="26"/>
          <w:szCs w:val="26"/>
        </w:rPr>
        <w:t xml:space="preserve">2  </w:t>
      </w:r>
      <w:r>
        <w:rPr>
          <w:rFonts w:ascii="Calibri" w:cs="Calibri" w:eastAsia="Calibri" w:hAnsi="Calibri"/>
          <w:b/>
          <w:bCs/>
          <w:color w:val="1F3B5C"/>
          <w:sz w:val="26"/>
          <w:szCs w:val="26"/>
        </w:rPr>
        <w:t xml:space="preserve">Novedad: la tarifa Premium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La nueva tarifa Premium ofrece las mismas prestaciones que la tarifa Básica, con sumas aseguradas un 50 % más altas: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6"/>
        <w:gridCol w:w="2500"/>
        <w:gridCol w:w="2500"/>
      </w:tblGrid>
      <w:tr>
        <w:trPr>
          <w:cantSplit/>
        </w:trPr>
        <w:tc>
          <w:tcPr>
            <w:tcW w:type="dxa" w:w="4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Prestación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Básica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Premium</w:t>
            </w:r>
          </w:p>
        </w:tc>
      </w:tr>
      <w:tr>
        <w:trPr>
          <w:cantSplit/>
        </w:trPr>
        <w:tc>
          <w:tcPr>
            <w:tcW w:type="dxa" w:w="4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3B5C"/>
                <w:sz w:val="20"/>
                <w:szCs w:val="20"/>
              </w:rPr>
              <w:t xml:space="preserve">Suma asegurada por siniestro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10.000 €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15.000 €</w:t>
            </w:r>
          </w:p>
        </w:tc>
      </w:tr>
      <w:tr>
        <w:trPr>
          <w:cantSplit/>
        </w:trPr>
        <w:tc>
          <w:tcPr>
            <w:tcW w:type="dxa" w:w="4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3B5C"/>
                <w:sz w:val="20"/>
                <w:szCs w:val="20"/>
              </w:rPr>
              <w:t xml:space="preserve">Suma asegurada tras cambio de médico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5.000 €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7.500 €</w:t>
            </w:r>
          </w:p>
        </w:tc>
      </w:tr>
      <w:tr>
        <w:trPr>
          <w:cantSplit/>
        </w:trPr>
        <w:tc>
          <w:tcPr>
            <w:tcW w:type="dxa" w:w="4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3B5C"/>
                <w:sz w:val="20"/>
                <w:szCs w:val="20"/>
              </w:rPr>
              <w:t xml:space="preserve">Reembolso a la Seguridad Social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hasta 100.000 €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hasta 150.000 €</w:t>
            </w:r>
          </w:p>
        </w:tc>
      </w:tr>
      <w:tr>
        <w:trPr>
          <w:cantSplit/>
        </w:trPr>
        <w:tc>
          <w:tcPr>
            <w:tcW w:type="dxa" w:w="49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3B5C"/>
                <w:sz w:val="20"/>
                <w:szCs w:val="20"/>
              </w:rPr>
              <w:t xml:space="preserve">Tratamientos por intervención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hasta 3</w:t>
            </w:r>
          </w:p>
        </w:tc>
        <w:tc>
          <w:tcPr>
            <w:tcW w:type="dxa" w:w="25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hasta 4</w:t>
            </w:r>
          </w:p>
        </w:tc>
      </w:tr>
    </w:tbl>
    <w:p>
      <w:pPr>
        <w:spacing w:after="140"/>
      </w:pP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Además, la tabla de prestaciones incluye nuevas coberturas, como la UCI privada (hasta 1.500 € en Básica y hasta 3.000 € en Premium).</w:t>
      </w:r>
    </w:p>
    <w:p>
      <w:pPr>
        <w:keepNext/>
        <w:spacing w:after="140" w:line="276"/>
      </w:pPr>
      <w:r>
        <w:rPr>
          <w:rFonts w:ascii="Calibri" w:cs="Calibri" w:eastAsia="Calibri" w:hAnsi="Calibri"/>
          <w:b/>
          <w:bCs/>
          <w:color w:val="1F3B5C"/>
          <w:sz w:val="22"/>
          <w:szCs w:val="22"/>
        </w:rPr>
        <w:t xml:space="preserve">Nuevas primas (prima única para 1 / 2 / 5 años)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6"/>
        <w:gridCol w:w="3800"/>
        <w:gridCol w:w="3800"/>
      </w:tblGrid>
      <w:tr>
        <w:trPr>
          <w:cantSplit/>
        </w:trPr>
        <w:tc>
          <w:tcPr>
            <w:tcW w:type="dxa" w:w="23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Básica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1F3B5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Premium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A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69 / 99 / 129 €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99 / 129 / 149 €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B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99 / 129 / 159 €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149 / 179 / 199 €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C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169 / 219 / 269 €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249 / 299 / 329 €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D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189 / 239 / 289 €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shd w:fill="EAF4FC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279 / 349 / 399 €</w:t>
            </w:r>
          </w:p>
        </w:tc>
      </w:tr>
      <w:tr>
        <w:trPr>
          <w:cantSplit/>
        </w:trPr>
        <w:tc>
          <w:tcPr>
            <w:tcW w:type="dxa" w:w="2306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B5C"/>
                <w:sz w:val="20"/>
                <w:szCs w:val="20"/>
              </w:rPr>
              <w:t xml:space="preserve">E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289 / 429 / 599 €</w:t>
            </w:r>
          </w:p>
        </w:tc>
        <w:tc>
          <w:tcPr>
            <w:tcW w:type="dxa" w:w="3800"/>
            <w:tcBorders>
              <w:top w:val="single" w:color="D6E6F3" w:sz="4"/>
              <w:left w:val="none" w:color="FFFFFF" w:sz="0"/>
              <w:bottom w:val="single" w:color="D6E6F3" w:sz="4"/>
              <w:right w:val="none" w:color="FFFFFF" w:sz="0"/>
            </w:tcBorders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429 / 599 / 799 €</w:t>
            </w:r>
          </w:p>
        </w:tc>
      </w:tr>
    </w:tbl>
    <w:p>
      <w:pPr>
        <w:spacing w:after="140"/>
      </w:pP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En el resumen adjunto encontrarán a qué categoría corresponde cada intervención.</w:t>
      </w:r>
    </w:p>
    <w:p>
      <w:pPr>
        <w:keepNext/>
        <w:keepLines/>
        <w:pBdr>
          <w:bottom w:val="single" w:color="61B2E7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61B2E7"/>
          <w:sz w:val="26"/>
          <w:szCs w:val="26"/>
        </w:rPr>
        <w:t xml:space="preserve">3  </w:t>
      </w:r>
      <w:r>
        <w:rPr>
          <w:rFonts w:ascii="Calibri" w:cs="Calibri" w:eastAsia="Calibri" w:hAnsi="Calibri"/>
          <w:b/>
          <w:bCs/>
          <w:color w:val="1F3B5C"/>
          <w:sz w:val="26"/>
          <w:szCs w:val="26"/>
        </w:rPr>
        <w:t xml:space="preserve">Contrato de grupo y nuevo portal online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Su contrato de grupo continúa con las nuevas primas. A partir de ahora, también pueden dar de alta a sus pacientes directamente desde la clínica a través de nuestro portal. El paciente recibe la confirmación del seguro por correo electrónico en pocos minutos. La facturación sigue siendo mensual. Adjuntamos una guía paso a paso.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Si lo prefieren, pueden seguir comunicándonos sus pacientes mediante una lista en Excel. Indíquennos qué opción eligen; si optan por el portal, les enviaremos sus datos de acceso de inmediato.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4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B5C"/>
                <w:sz w:val="22"/>
                <w:szCs w:val="22"/>
              </w:rPr>
              <w:t xml:space="preserve">Mínimo de contratos a partir de 2027: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partir del año natural 2027, los contratos de grupo requieren un mínimo de 60 contratos al año.</w:t>
            </w:r>
          </w:p>
        </w:tc>
      </w:tr>
    </w:tbl>
    <w:p>
      <w:pPr>
        <w:keepNext/>
        <w:keepLines/>
        <w:pBdr>
          <w:bottom w:val="single" w:color="61B2E7" w:sz="6" w:space="3"/>
        </w:pBdr>
        <w:spacing w:after="120" w:before="260"/>
      </w:pPr>
      <w:r>
        <w:rPr>
          <w:rFonts w:ascii="Calibri" w:cs="Calibri" w:eastAsia="Calibri" w:hAnsi="Calibri"/>
          <w:b/>
          <w:bCs/>
          <w:color w:val="61B2E7"/>
          <w:sz w:val="26"/>
          <w:szCs w:val="26"/>
        </w:rPr>
        <w:t xml:space="preserve">4  </w:t>
      </w:r>
      <w:r>
        <w:rPr>
          <w:rFonts w:ascii="Calibri" w:cs="Calibri" w:eastAsia="Calibri" w:hAnsi="Calibri"/>
          <w:b/>
          <w:bCs/>
          <w:color w:val="1F3B5C"/>
          <w:sz w:val="26"/>
          <w:szCs w:val="26"/>
        </w:rPr>
        <w:t xml:space="preserve">Alternativa: contratación directa por el paciente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Si prevén que su clínica no alcanzará este mínimo, pueden pasar al modelo de contratación por el paciente a partir del 1 de enero de 2027. En ese caso, el propio paciente contrata el seguro con el formulario de solicitud adjunto (enviándolo por correo electrónico a info@medassure.es) o en línea en medassure.es, y nos paga la prima directamente. Su clínica ya no tendrá que encargarse del cobro ni de la facturación. Muchas clínicas utilizan ya este formulario y la valoración es muy positiva. Para el cambio basta con que nos envíen un breve mensaje.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Quedamos a su disposición para cualquier consulta.</w:t>
      </w:r>
    </w:p>
    <w:p>
      <w:pPr>
        <w:spacing w:after="60"/>
      </w:pPr>
    </w:p>
    <w:p>
      <w:pPr>
        <w:keepNext/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Atentamente,</w:t>
      </w:r>
    </w:p>
    <w:p>
      <w:pPr>
        <w:spacing w:after="300"/>
      </w:pPr>
    </w:p>
    <w:p>
      <w:pPr>
        <w:keepNext/>
        <w:spacing w:after="0"/>
      </w:pPr>
      <w:r>
        <w:rPr>
          <w:rFonts w:ascii="Calibri" w:cs="Calibri" w:eastAsia="Calibri" w:hAnsi="Calibri"/>
          <w:b/>
          <w:bCs/>
          <w:color w:val="1F3B5C"/>
          <w:sz w:val="22"/>
          <w:szCs w:val="22"/>
        </w:rPr>
        <w:t xml:space="preserve">[Nombre]</w:t>
      </w:r>
    </w:p>
    <w:p>
      <w:pPr>
        <w:keepNext/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Gerente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JHC Service GmbH</w:t>
      </w:r>
    </w:p>
    <w:sectPr>
      <w:headerReference w:type="default" r:id="rId7"/>
      <w:footerReference w:type="default" r:id="rId8"/>
      <w:pgSz w:w="11906" w:h="16838" w:orient="portrait"/>
      <w:pgMar w:top="2150" w:right="1000" w:bottom="2000" w:left="100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60"/>
      <w:jc w:val="right"/>
    </w:pPr>
    <w:r>
      <w:rPr>
        <w:rFonts w:ascii="Calibri" w:cs="Calibri" w:eastAsia="Calibri" w:hAnsi="Calibri"/>
        <w:color w:val="7F8C99"/>
        <w:sz w:val="14"/>
        <w:szCs w:val="14"/>
      </w:rPr>
      <w:t xml:space="preserve">Página </w:t>
    </w:r>
    <w:r>
      <w:rPr>
        <w:rFonts w:ascii="Calibri" w:cs="Calibri" w:eastAsia="Calibri" w:hAnsi="Calibri"/>
        <w:color w:val="7F8C9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F8C99"/>
        <w:sz w:val="14"/>
        <w:szCs w:val="14"/>
      </w:rPr>
      <w:t xml:space="preserve"> de </w:t>
    </w:r>
    <w:r>
      <w:rPr>
        <w:rFonts w:ascii="Calibri" w:cs="Calibri" w:eastAsia="Calibri" w:hAnsi="Calibri"/>
        <w:color w:val="7F8C9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  <w:tbl>
    <w:tblPr>
      <w:tblW w:type="dxa" w:w="9906"/>
      <w:tblBorders>
        <w:top w:val="single" w:color="BFC7D1" w:sz="4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2700"/>
      <w:gridCol w:w="2500"/>
      <w:gridCol w:w="2406"/>
      <w:gridCol w:w="2300"/>
    </w:tblGrid>
    <w:tr>
      <w:tc>
        <w:tcPr>
          <w:tcW w:type="dxa" w:w="27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  <w:left w:type="dxa" w:w="0"/>
            <w:right w:type="dxa" w:w="80"/>
          </w:tcMar>
        </w:tcPr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JHC Service GmbH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Registro Mercantil de Colonia, HRB 66200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Gerentes: Uwe Jahnke,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Christian Hoyer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N.º fiscal 215/5823/1521</w:t>
          </w:r>
        </w:p>
      </w:tc>
      <w:tc>
        <w:tcPr>
          <w:tcW w:type="dxa" w:w="2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  <w:left w:type="dxa" w:w="0"/>
            <w:right w:type="dxa" w:w="80"/>
          </w:tcMar>
        </w:tcPr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Corredor de seguros autorizado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según el § 34d, apdo. 1 GewO (Alemania)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N.º de registro: D-617O-A2DK9-95</w:t>
          </w:r>
        </w:p>
      </w:tc>
      <w:tc>
        <w:tcPr>
          <w:tcW w:type="dxa" w:w="240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  <w:left w:type="dxa" w:w="0"/>
            <w:right w:type="dxa" w:w="80"/>
          </w:tcMar>
        </w:tcPr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Commerzbank Colonia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IBAN DE16 3704 0044 0511 3311 01</w:t>
          </w:r>
        </w:p>
        <w:p>
          <w:pPr>
            <w:spacing w:after="0" w:line="220"/>
            <w:jc w:val="left"/>
          </w:pPr>
          <w:r>
            <w:rPr>
              <w:rFonts w:ascii="Calibri" w:cs="Calibri" w:eastAsia="Calibri" w:hAnsi="Calibri"/>
              <w:color w:val="7F8C99"/>
              <w:sz w:val="13"/>
              <w:szCs w:val="13"/>
            </w:rPr>
            <w:t xml:space="preserve">BIC COBADEFFXXX</w:t>
          </w:r>
        </w:p>
      </w:tc>
      <w:tc>
        <w:tcPr>
          <w:tcW w:type="dxa" w:w="23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80"/>
          </w:tcMar>
        </w:tcPr>
        <w:p>
          <w:pPr>
            <w:jc w:val="right"/>
          </w:pPr>
          <w:r>
            <w:drawing>
              <wp:inline distT="0" distB="0" distL="0" distR="0">
                <wp:extent cx="1333500" cy="285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33500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</w:pPr>
    <w:r>
      <w:drawing>
        <wp:inline distT="0" distB="0" distL="0" distR="0">
          <wp:extent cx="1714500" cy="4667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</w:rPr>
      <w:t xml:space="preserve">	</w:t>
    </w:r>
    <w:r>
      <w:drawing>
        <wp:inline distT="0" distB="0" distL="0" distR="0">
          <wp:extent cx="1066800" cy="6953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695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27f3a7d60422708f9720803b636283c82b2d3d8c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a17800dfa8fea6c3be7bdf4b4ace0ce5ed54ec9.png"/><Relationship Id="rId1" Type="http://schemas.openxmlformats.org/officeDocument/2006/relationships/image" Target="media/83c11143c01be09a0be4c73c12ad92387d11b7e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2026-10-06T11:20:33.809Z</dcterms:created>
  <dcterms:modified xsi:type="dcterms:W3CDTF">2026-10-06T11:20:33.810Z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