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t>
      </w:r>
      <w:r>
        <w:t xml:space="preserve"> </w:t>
      </w:r>
      <w:r>
        <w:t xml:space="preserve">abstención</w:t>
      </w:r>
      <w:r>
        <w:t xml:space="preserve"> </w:t>
      </w:r>
      <w:r>
        <w:t xml:space="preserve">en</w:t>
      </w:r>
      <w:r>
        <w:t xml:space="preserve"> </w:t>
      </w:r>
      <w:r>
        <w:t xml:space="preserve">España:</w:t>
      </w:r>
      <w:r>
        <w:t xml:space="preserve"> </w:t>
      </w:r>
      <w:r>
        <w:t xml:space="preserve">motivos</w:t>
      </w:r>
      <w:r>
        <w:t xml:space="preserve"> </w:t>
      </w:r>
      <w:r>
        <w:t xml:space="preserve">declarados,</w:t>
      </w:r>
      <w:r>
        <w:t xml:space="preserve"> </w:t>
      </w:r>
      <w:r>
        <w:t xml:space="preserve">abstención</w:t>
      </w:r>
      <w:r>
        <w:t xml:space="preserve"> </w:t>
      </w:r>
      <w:r>
        <w:t xml:space="preserve">crítica</w:t>
      </w:r>
      <w:r>
        <w:t xml:space="preserve"> </w:t>
      </w:r>
      <w:r>
        <w:t xml:space="preserve">y</w:t>
      </w:r>
      <w:r>
        <w:t xml:space="preserve"> </w:t>
      </w:r>
      <w:r>
        <w:t xml:space="preserve">datos</w:t>
      </w:r>
      <w:r>
        <w:t xml:space="preserve"> </w:t>
      </w:r>
      <w:r>
        <w:t xml:space="preserve">ESS</w:t>
      </w:r>
    </w:p>
    <w:p>
      <w:pPr>
        <w:pStyle w:val="Subtitle"/>
      </w:pPr>
      <w:r>
        <w:t xml:space="preserve">Informe</w:t>
      </w:r>
      <w:r>
        <w:t xml:space="preserve"> </w:t>
      </w:r>
      <w:r>
        <w:t xml:space="preserve">para</w:t>
      </w:r>
      <w:r>
        <w:t xml:space="preserve"> </w:t>
      </w:r>
      <w:r>
        <w:t xml:space="preserve">el</w:t>
      </w:r>
      <w:r>
        <w:t xml:space="preserve"> </w:t>
      </w:r>
      <w:r>
        <w:t xml:space="preserve">párrafo</w:t>
      </w:r>
      <w:r>
        <w:t xml:space="preserve"> </w:t>
      </w:r>
      <w:r>
        <w:t xml:space="preserve">sobre</w:t>
      </w:r>
      <w:r>
        <w:t xml:space="preserve"> </w:t>
      </w:r>
      <w:r>
        <w:t xml:space="preserve">los</w:t>
      </w:r>
      <w:r>
        <w:t xml:space="preserve"> </w:t>
      </w:r>
      <w:r>
        <w:t xml:space="preserve">no</w:t>
      </w:r>
      <w:r>
        <w:t xml:space="preserve"> </w:t>
      </w:r>
      <w:r>
        <w:t xml:space="preserve">votantes</w:t>
      </w:r>
    </w:p>
    <w:p>
      <w:pPr>
        <w:pStyle w:val="FirstParagraph"/>
      </w:pPr>
      <w:r>
        <w:t xml:space="preserve">La respuesta corta: sí hay datos no-CIS para defender que buena parte de la abstención procede de la desconfianza y no del desinterés. El Eurobarómetro postelectoral del Parlamento Europeo sitúa la</w:t>
      </w:r>
      <w:r>
        <w:t xml:space="preserve"> </w:t>
      </w:r>
      <w:r>
        <w:t xml:space="preserve">“</w:t>
      </w:r>
      <w:r>
        <w:t xml:space="preserve">falta de confianza en la política</w:t>
      </w:r>
      <w:r>
        <w:t xml:space="preserve">”</w:t>
      </w:r>
      <w:r>
        <w:t xml:space="preserve"> </w:t>
      </w:r>
      <w:r>
        <w:t xml:space="preserve">como primer motivo de abstención en la UE (21 % en 2024) y en España (30 % en 2014; 25 % en 2024, este último dato solo verificado a través de una agencia de noticias). El problema es que esos datos se refieren a elecciones europeas: para las</w:t>
      </w:r>
      <w:r>
        <w:t xml:space="preserve"> </w:t>
      </w:r>
      <w:r>
        <w:rPr>
          <w:bCs/>
          <w:b/>
        </w:rPr>
        <w:t xml:space="preserve">generales</w:t>
      </w:r>
      <w:r>
        <w:t xml:space="preserve"> </w:t>
      </w:r>
      <w:r>
        <w:t xml:space="preserve">(2019, 2023) la única fuente con motivos de abstención desglosados que he encontrado es el CIS.</w:t>
      </w:r>
    </w:p>
    <w:bookmarkStart w:id="20" w:name="tldr"/>
    <w:p>
      <w:pPr>
        <w:pStyle w:val="Heading1"/>
      </w:pPr>
      <w:r>
        <w:t xml:space="preserve">TL;DR</w:t>
      </w:r>
    </w:p>
    <w:p>
      <w:pPr>
        <w:numPr>
          <w:ilvl w:val="0"/>
          <w:numId w:val="1001"/>
        </w:numPr>
        <w:pStyle w:val="Compact"/>
      </w:pPr>
      <w:r>
        <w:rPr>
          <w:bCs/>
          <w:b/>
        </w:rPr>
        <w:t xml:space="preserve">Dato oficial:</w:t>
      </w:r>
      <w:r>
        <w:t xml:space="preserve"> </w:t>
      </w:r>
      <w:r>
        <w:t xml:space="preserve">en las generales del 23-J de 2023 la participación definitiva, con el voto exterior (CERA) incluido, fue del</w:t>
      </w:r>
      <w:r>
        <w:t xml:space="preserve"> </w:t>
      </w:r>
      <w:r>
        <w:rPr>
          <w:bCs/>
          <w:b/>
        </w:rPr>
        <w:t xml:space="preserve">66,59 %</w:t>
      </w:r>
      <w:r>
        <w:t xml:space="preserve"> </w:t>
      </w:r>
      <w:r>
        <w:t xml:space="preserve">(24.952.447 votantes de 37.469.458 electores;</w:t>
      </w:r>
      <w:r>
        <w:t xml:space="preserve"> </w:t>
      </w:r>
      <w:r>
        <w:rPr>
          <w:bCs/>
          <w:b/>
        </w:rPr>
        <w:t xml:space="preserve">12.517.011 abstenciones</w:t>
      </w:r>
      <w:r>
        <w:t xml:space="preserve">). El 70,40 % que se dio la noche electoral no incluía el CERA y no debe usarse. En noviembre de 2019 fue del 66,23 %.</w:t>
      </w:r>
    </w:p>
    <w:p>
      <w:pPr>
        <w:numPr>
          <w:ilvl w:val="0"/>
          <w:numId w:val="1001"/>
        </w:numPr>
        <w:pStyle w:val="Compact"/>
      </w:pPr>
      <w:r>
        <w:rPr>
          <w:bCs/>
          <w:b/>
        </w:rPr>
        <w:t xml:space="preserve">Motivos (fuente no-CIS):</w:t>
      </w:r>
      <w:r>
        <w:t xml:space="preserve"> </w:t>
      </w:r>
      <w:r>
        <w:t xml:space="preserve">el Eurobarómetro postelectoral 2024 da para la UE: falta de confianza o insatisfacción con la política</w:t>
      </w:r>
      <w:r>
        <w:t xml:space="preserve"> </w:t>
      </w:r>
      <w:r>
        <w:rPr>
          <w:bCs/>
          <w:b/>
        </w:rPr>
        <w:t xml:space="preserve">21 %</w:t>
      </w:r>
      <w:r>
        <w:t xml:space="preserve">, falta de interés</w:t>
      </w:r>
      <w:r>
        <w:t xml:space="preserve"> </w:t>
      </w:r>
      <w:r>
        <w:rPr>
          <w:bCs/>
          <w:b/>
        </w:rPr>
        <w:t xml:space="preserve">20 %</w:t>
      </w:r>
      <w:r>
        <w:t xml:space="preserve">,</w:t>
      </w:r>
      <w:r>
        <w:t xml:space="preserve"> </w:t>
      </w:r>
      <w:r>
        <w:t xml:space="preserve">“</w:t>
      </w:r>
      <w:r>
        <w:t xml:space="preserve">mi voto no cambia nada</w:t>
      </w:r>
      <w:r>
        <w:t xml:space="preserve">”</w:t>
      </w:r>
      <w:r>
        <w:t xml:space="preserve"> </w:t>
      </w:r>
      <w:r>
        <w:rPr>
          <w:bCs/>
          <w:b/>
        </w:rPr>
        <w:t xml:space="preserve">17 %</w:t>
      </w:r>
      <w:r>
        <w:t xml:space="preserve">, vacaciones o fuera de casa</w:t>
      </w:r>
      <w:r>
        <w:t xml:space="preserve"> </w:t>
      </w:r>
      <w:r>
        <w:rPr>
          <w:bCs/>
          <w:b/>
        </w:rPr>
        <w:t xml:space="preserve">12 %</w:t>
      </w:r>
      <w:r>
        <w:t xml:space="preserve">, demasiado ocupado o trabajando</w:t>
      </w:r>
      <w:r>
        <w:t xml:space="preserve"> </w:t>
      </w:r>
      <w:r>
        <w:rPr>
          <w:bCs/>
          <w:b/>
        </w:rPr>
        <w:t xml:space="preserve">12 %</w:t>
      </w:r>
      <w:r>
        <w:t xml:space="preserve">. Para España, la agencia ACN informa de un</w:t>
      </w:r>
      <w:r>
        <w:t xml:space="preserve"> </w:t>
      </w:r>
      <w:r>
        <w:rPr>
          <w:bCs/>
          <w:b/>
        </w:rPr>
        <w:t xml:space="preserve">25 %</w:t>
      </w:r>
      <w:r>
        <w:t xml:space="preserve"> </w:t>
      </w:r>
      <w:r>
        <w:t xml:space="preserve">de desconfianza y un</w:t>
      </w:r>
      <w:r>
        <w:t xml:space="preserve"> </w:t>
      </w:r>
      <w:r>
        <w:rPr>
          <w:bCs/>
          <w:b/>
        </w:rPr>
        <w:t xml:space="preserve">13 %</w:t>
      </w:r>
      <w:r>
        <w:t xml:space="preserve"> </w:t>
      </w:r>
      <w:r>
        <w:t xml:space="preserve">de vacaciones (sin verificar en la fuente primaria). Para las generales de 2023 solo existe el dato del CIS:</w:t>
      </w:r>
      <w:r>
        <w:t xml:space="preserve"> </w:t>
      </w:r>
      <w:r>
        <w:t xml:space="preserve">“</w:t>
      </w:r>
      <w:r>
        <w:t xml:space="preserve">ningún partido ni político le inspiraba confianza</w:t>
      </w:r>
      <w:r>
        <w:t xml:space="preserve">”</w:t>
      </w:r>
      <w:r>
        <w:t xml:space="preserve"> </w:t>
      </w:r>
      <w:r>
        <w:rPr>
          <w:bCs/>
          <w:b/>
        </w:rPr>
        <w:t xml:space="preserve">23,9 %</w:t>
      </w:r>
      <w:r>
        <w:t xml:space="preserve">,</w:t>
      </w:r>
      <w:r>
        <w:t xml:space="preserve"> </w:t>
      </w:r>
      <w:r>
        <w:t xml:space="preserve">“</w:t>
      </w:r>
      <w:r>
        <w:t xml:space="preserve">no se sentía representado</w:t>
      </w:r>
      <w:r>
        <w:t xml:space="preserve">”</w:t>
      </w:r>
      <w:r>
        <w:t xml:space="preserve"> </w:t>
      </w:r>
      <w:r>
        <w:rPr>
          <w:bCs/>
          <w:b/>
        </w:rPr>
        <w:t xml:space="preserve">13,1 %</w:t>
      </w:r>
      <w:r>
        <w:t xml:space="preserve">, desinterés</w:t>
      </w:r>
      <w:r>
        <w:t xml:space="preserve"> </w:t>
      </w:r>
      <w:r>
        <w:rPr>
          <w:bCs/>
          <w:b/>
        </w:rPr>
        <w:t xml:space="preserve">10,7 %</w:t>
      </w:r>
      <w:r>
        <w:t xml:space="preserve">.</w:t>
      </w:r>
    </w:p>
    <w:p>
      <w:pPr>
        <w:numPr>
          <w:ilvl w:val="0"/>
          <w:numId w:val="1001"/>
        </w:numPr>
        <w:pStyle w:val="Compact"/>
      </w:pPr>
      <w:r>
        <w:rPr>
          <w:bCs/>
          <w:b/>
        </w:rPr>
        <w:t xml:space="preserve">Argumento:</w:t>
      </w:r>
      <w:r>
        <w:t xml:space="preserve"> </w:t>
      </w:r>
      <w:r>
        <w:t xml:space="preserve">Hooghe y Marien (2013), con datos de la ESS de 25 países, muestran que la confianza política se asocia positivamente con la participación institucional (el voto) y negativamente con la no institucional (peticiones, boicots, manifestaciones). La desconfianza aleja de las urnas, pero no necesariamente de la política. Eso respalda la tesis de tu artículo.</w:t>
      </w:r>
    </w:p>
    <w:bookmarkEnd w:id="20"/>
    <w:bookmarkStart w:id="38" w:name="Xcfd7f9d51a3dfa8c83512972cd23b55e12592af"/>
    <w:p>
      <w:pPr>
        <w:pStyle w:val="Heading1"/>
      </w:pPr>
      <w:r>
        <w:t xml:space="preserve">1. Estadísticas sobre los motivos de la abstención</w:t>
      </w:r>
    </w:p>
    <w:bookmarkStart w:id="23" w:name="Xdb22c77ae7968318d9bab15ce40e02141eeca1c"/>
    <w:p>
      <w:pPr>
        <w:pStyle w:val="Heading2"/>
      </w:pPr>
      <w:r>
        <w:t xml:space="preserve">1.1 Participación oficial (Ministerio del Interior)</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tcMar>
              <w:top w:w="70" w:type="dxa"/>
              <w:bottom w:w="70" w:type="dxa"/>
              <w:left w:w="100" w:type="dxa"/>
              <w:right w:w="100" w:type="dxa"/>
            </w:tcMar>
            <w:shd w:val="clear" w:color="auto" w:fill="D9E2F3"/>
          </w:tcPr>
          <w:p>
            <w:pPr>
              <w:pStyle w:val="Compact"/>
              <w:spacing w:after="40"/>
              <w:jc w:val="left"/>
            </w:pPr>
            <w:r>
              <w:rPr>
                <w:b/>
                <w:sz w:val="19"/>
              </w:rPr>
              <w:t xml:space="preserve">Elección</w:t>
            </w:r>
          </w:p>
        </w:tc>
        <w:tc>
          <w:tcPr>
            <w:tcMar>
              <w:top w:w="70" w:type="dxa"/>
              <w:bottom w:w="70" w:type="dxa"/>
              <w:left w:w="100" w:type="dxa"/>
              <w:right w:w="100" w:type="dxa"/>
            </w:tcMar>
            <w:shd w:val="clear" w:color="auto" w:fill="D9E2F3"/>
          </w:tcPr>
          <w:p>
            <w:pPr>
              <w:pStyle w:val="Compact"/>
              <w:spacing w:after="40"/>
              <w:jc w:val="left"/>
            </w:pPr>
            <w:r>
              <w:rPr>
                <w:b/>
                <w:sz w:val="19"/>
              </w:rPr>
              <w:t xml:space="preserve">Participación</w:t>
            </w:r>
          </w:p>
        </w:tc>
        <w:tc>
          <w:tcPr>
            <w:tcMar>
              <w:top w:w="70" w:type="dxa"/>
              <w:bottom w:w="70" w:type="dxa"/>
              <w:left w:w="100" w:type="dxa"/>
              <w:right w:w="100" w:type="dxa"/>
            </w:tcMar>
            <w:shd w:val="clear" w:color="auto" w:fill="D9E2F3"/>
          </w:tcPr>
          <w:p>
            <w:pPr>
              <w:pStyle w:val="Compact"/>
              <w:spacing w:after="40"/>
              <w:jc w:val="left"/>
            </w:pPr>
            <w:r>
              <w:rPr>
                <w:b/>
                <w:sz w:val="19"/>
              </w:rPr>
              <w:t xml:space="preserve">Nota</w:t>
            </w:r>
          </w:p>
        </w:tc>
      </w:tr>
      <w:tr>
        <w:tc>
          <w:tcPr>
            <w:tcMar>
              <w:top w:w="70" w:type="dxa"/>
              <w:bottom w:w="70" w:type="dxa"/>
              <w:left w:w="100" w:type="dxa"/>
              <w:right w:w="100" w:type="dxa"/>
            </w:tcMar>
          </w:tcPr>
          <w:p>
            <w:pPr>
              <w:pStyle w:val="Compact"/>
              <w:spacing w:after="40"/>
              <w:jc w:val="left"/>
            </w:pPr>
            <w:r>
              <w:rPr>
                <w:sz w:val="19"/>
              </w:rPr>
              <w:t xml:space="preserve">Generales 23-7-2023</w:t>
            </w:r>
          </w:p>
        </w:tc>
        <w:tc>
          <w:tcPr>
            <w:tcMar>
              <w:top w:w="70" w:type="dxa"/>
              <w:bottom w:w="70" w:type="dxa"/>
              <w:left w:w="100" w:type="dxa"/>
              <w:right w:w="100" w:type="dxa"/>
            </w:tcMar>
          </w:tcPr>
          <w:p>
            <w:pPr>
              <w:pStyle w:val="Compact"/>
              <w:spacing w:after="40"/>
              <w:jc w:val="left"/>
            </w:pPr>
            <w:r>
              <w:rPr>
                <w:bCs/>
                <w:b/>
                <w:sz w:val="19"/>
              </w:rPr>
              <w:t xml:space="preserve">66,59 %</w:t>
            </w:r>
            <w:r>
              <w:rPr>
                <w:sz w:val="19"/>
              </w:rPr>
              <w:t xml:space="preserve"> </w:t>
            </w:r>
            <w:r>
              <w:rPr>
                <w:sz w:val="19"/>
              </w:rPr>
              <w:t xml:space="preserve">definitivo (con CERA)</w:t>
            </w:r>
          </w:p>
        </w:tc>
        <w:tc>
          <w:tcPr>
            <w:tcMar>
              <w:top w:w="70" w:type="dxa"/>
              <w:bottom w:w="70" w:type="dxa"/>
              <w:left w:w="100" w:type="dxa"/>
              <w:right w:w="100" w:type="dxa"/>
            </w:tcMar>
          </w:tcPr>
          <w:p>
            <w:pPr>
              <w:pStyle w:val="Compact"/>
              <w:spacing w:after="40"/>
              <w:jc w:val="left"/>
            </w:pPr>
            <w:r>
              <w:rPr>
                <w:sz w:val="19"/>
              </w:rPr>
              <w:t xml:space="preserve">70,40 % provisional sin CERA; abstención de 12.517.011 personas sobre 37.469.458 electores</w:t>
            </w:r>
          </w:p>
        </w:tc>
      </w:tr>
      <w:tr>
        <w:tc>
          <w:tcPr>
            <w:tcMar>
              <w:top w:w="70" w:type="dxa"/>
              <w:bottom w:w="70" w:type="dxa"/>
              <w:left w:w="100" w:type="dxa"/>
              <w:right w:w="100" w:type="dxa"/>
            </w:tcMar>
          </w:tcPr>
          <w:p>
            <w:pPr>
              <w:pStyle w:val="Compact"/>
              <w:spacing w:after="40"/>
              <w:jc w:val="left"/>
            </w:pPr>
            <w:r>
              <w:rPr>
                <w:sz w:val="19"/>
              </w:rPr>
              <w:t xml:space="preserve">Generales 10-11-2019</w:t>
            </w:r>
          </w:p>
        </w:tc>
        <w:tc>
          <w:tcPr>
            <w:tcMar>
              <w:top w:w="70" w:type="dxa"/>
              <w:bottom w:w="70" w:type="dxa"/>
              <w:left w:w="100" w:type="dxa"/>
              <w:right w:w="100" w:type="dxa"/>
            </w:tcMar>
          </w:tcPr>
          <w:p>
            <w:pPr>
              <w:pStyle w:val="Compact"/>
              <w:spacing w:after="40"/>
              <w:jc w:val="left"/>
            </w:pPr>
            <w:r>
              <w:rPr>
                <w:sz w:val="19"/>
              </w:rPr>
              <w:t xml:space="preserve">66,23 %</w:t>
            </w:r>
          </w:p>
        </w:tc>
        <w:tc>
          <w:tcPr>
            <w:tcMar>
              <w:top w:w="70" w:type="dxa"/>
              <w:bottom w:w="70" w:type="dxa"/>
              <w:left w:w="100" w:type="dxa"/>
              <w:right w:w="100" w:type="dxa"/>
            </w:tcMar>
          </w:tcPr>
          <w:p>
            <w:pPr>
              <w:pStyle w:val="Compact"/>
              <w:spacing w:after="40"/>
              <w:jc w:val="left"/>
            </w:pPr>
            <w:r>
              <w:rPr>
                <w:sz w:val="19"/>
              </w:rPr>
              <w:t xml:space="preserve">definitivo</w:t>
            </w:r>
          </w:p>
        </w:tc>
      </w:tr>
      <w:tr>
        <w:tc>
          <w:tcPr>
            <w:tcMar>
              <w:top w:w="70" w:type="dxa"/>
              <w:bottom w:w="70" w:type="dxa"/>
              <w:left w:w="100" w:type="dxa"/>
              <w:right w:w="100" w:type="dxa"/>
            </w:tcMar>
          </w:tcPr>
          <w:p>
            <w:pPr>
              <w:pStyle w:val="Compact"/>
              <w:spacing w:after="40"/>
              <w:jc w:val="left"/>
            </w:pPr>
            <w:r>
              <w:rPr>
                <w:sz w:val="19"/>
              </w:rPr>
              <w:t xml:space="preserve">Generales 28-4-2019</w:t>
            </w:r>
          </w:p>
        </w:tc>
        <w:tc>
          <w:tcPr>
            <w:tcMar>
              <w:top w:w="70" w:type="dxa"/>
              <w:bottom w:w="70" w:type="dxa"/>
              <w:left w:w="100" w:type="dxa"/>
              <w:right w:w="100" w:type="dxa"/>
            </w:tcMar>
          </w:tcPr>
          <w:p>
            <w:pPr>
              <w:pStyle w:val="Compact"/>
              <w:spacing w:after="40"/>
              <w:jc w:val="left"/>
            </w:pPr>
            <w:r>
              <w:rPr>
                <w:sz w:val="19"/>
              </w:rPr>
              <w:t xml:space="preserve">71,76 % (26.478.140 votantes de un censo de 36.898.883; abstención del 28,24 %)</w:t>
            </w:r>
          </w:p>
        </w:tc>
        <w:tc>
          <w:tcPr>
            <w:tcMar>
              <w:top w:w="70" w:type="dxa"/>
              <w:bottom w:w="70" w:type="dxa"/>
              <w:left w:w="100" w:type="dxa"/>
              <w:right w:w="100" w:type="dxa"/>
            </w:tcMar>
          </w:tcPr>
          <w:p>
            <w:pPr>
              <w:pStyle w:val="Compact"/>
              <w:spacing w:after="40"/>
              <w:jc w:val="left"/>
            </w:pPr>
            <w:r>
              <w:rPr>
                <w:sz w:val="19"/>
              </w:rPr>
              <w:t xml:space="preserve">75,75 % antes de sumar el CERA; serie del Ministerio del Interior recogida por Statista y historiaelectoral.com</w:t>
            </w:r>
          </w:p>
        </w:tc>
      </w:tr>
      <w:tr>
        <w:tc>
          <w:tcPr>
            <w:tcMar>
              <w:top w:w="70" w:type="dxa"/>
              <w:bottom w:w="70" w:type="dxa"/>
              <w:left w:w="100" w:type="dxa"/>
              <w:right w:w="100" w:type="dxa"/>
            </w:tcMar>
          </w:tcPr>
          <w:p>
            <w:pPr>
              <w:pStyle w:val="Compact"/>
              <w:spacing w:after="40"/>
              <w:jc w:val="left"/>
            </w:pPr>
            <w:r>
              <w:rPr>
                <w:sz w:val="19"/>
              </w:rPr>
              <w:t xml:space="preserve">Europeas 9-6-2024 (España)</w:t>
            </w:r>
          </w:p>
        </w:tc>
        <w:tc>
          <w:tcPr>
            <w:tcMar>
              <w:top w:w="70" w:type="dxa"/>
              <w:bottom w:w="70" w:type="dxa"/>
              <w:left w:w="100" w:type="dxa"/>
              <w:right w:w="100" w:type="dxa"/>
            </w:tcMar>
          </w:tcPr>
          <w:p>
            <w:pPr>
              <w:pStyle w:val="Compact"/>
              <w:spacing w:after="40"/>
              <w:jc w:val="left"/>
            </w:pPr>
            <w:r>
              <w:rPr>
                <w:sz w:val="19"/>
              </w:rPr>
              <w:t xml:space="preserve">46,39 %</w:t>
            </w:r>
          </w:p>
        </w:tc>
        <w:tc>
          <w:tcPr>
            <w:tcMar>
              <w:top w:w="70" w:type="dxa"/>
              <w:bottom w:w="70" w:type="dxa"/>
              <w:left w:w="100" w:type="dxa"/>
              <w:right w:w="100" w:type="dxa"/>
            </w:tcMar>
          </w:tcPr>
          <w:p>
            <w:pPr>
              <w:pStyle w:val="Compact"/>
              <w:spacing w:after="40"/>
              <w:jc w:val="left"/>
            </w:pPr>
            <w:r>
              <w:rPr>
                <w:sz w:val="19"/>
              </w:rPr>
              <w:t xml:space="preserve">60,73 % en 2019 (coincidió con municipales); 43,81 % en 2014</w:t>
            </w:r>
          </w:p>
        </w:tc>
      </w:tr>
    </w:tbl>
    <w:p>
      <w:pPr>
        <w:pStyle w:val="BodyText"/>
      </w:pPr>
      <w:r>
        <w:t xml:space="preserve">Fuentes:</w:t>
      </w:r>
      <w:r>
        <w:t xml:space="preserve"> </w:t>
      </w:r>
      <w:hyperlink r:id="rId21">
        <w:r>
          <w:rPr>
            <w:rStyle w:val="Hyperlink"/>
          </w:rPr>
          <w:t xml:space="preserve">Newtral, 18-9-2023</w:t>
        </w:r>
      </w:hyperlink>
      <w:r>
        <w:t xml:space="preserve">, que explica la diferencia entre el dato provisional y el definitivo, y</w:t>
      </w:r>
      <w:r>
        <w:t xml:space="preserve"> </w:t>
      </w:r>
      <w:hyperlink r:id="rId22">
        <w:r>
          <w:rPr>
            <w:rStyle w:val="Hyperlink"/>
          </w:rPr>
          <w:t xml:space="preserve">Oficina del PE en Barcelona</w:t>
        </w:r>
      </w:hyperlink>
      <w:r>
        <w:t xml:space="preserve"> </w:t>
      </w:r>
      <w:r>
        <w:t xml:space="preserve">para las europeas. Para citarlo en el artículo, conviene tomar el dato del escrutinio definitivo en infoelectoral.interior.gob.es, que no he podido abrir directamente. Las cifras en valores absolutos proceden de una tabla que recoge datos de Interior.</w:t>
      </w:r>
    </w:p>
    <w:bookmarkEnd w:id="23"/>
    <w:bookmarkStart w:id="34" w:name="fuentes-no-cis"/>
    <w:p>
      <w:pPr>
        <w:pStyle w:val="Heading2"/>
      </w:pPr>
      <w:r>
        <w:t xml:space="preserve">1.2 Fuentes NO-CIS</w:t>
      </w:r>
    </w:p>
    <w:p>
      <w:pPr>
        <w:pStyle w:val="FirstParagraph"/>
      </w:pPr>
      <w:r>
        <w:rPr>
          <w:bCs/>
          <w:b/>
        </w:rPr>
        <w:t xml:space="preserve">Eurobarómetro postelectoral del Parlamento Europeo (elecciones europeas)</w:t>
      </w:r>
    </w:p>
    <w:p>
      <w:pPr>
        <w:numPr>
          <w:ilvl w:val="0"/>
          <w:numId w:val="1002"/>
        </w:numPr>
        <w:pStyle w:val="Compact"/>
      </w:pPr>
      <w:r>
        <w:rPr>
          <w:bCs/>
          <w:b/>
        </w:rPr>
        <w:t xml:space="preserve">2024</w:t>
      </w:r>
      <w:r>
        <w:t xml:space="preserve"> </w:t>
      </w:r>
      <w:r>
        <w:t xml:space="preserve">(Eurobarómetro Especial 101.5; Verian; trabajo de campo del 13-6 al 8-7-2024; 26.349 entrevistas, alrededor de un millar en España; resultados ponderados por la participación real de cada país). Datos de la media UE, según</w:t>
      </w:r>
      <w:r>
        <w:t xml:space="preserve"> </w:t>
      </w:r>
      <w:hyperlink r:id="rId24">
        <w:r>
          <w:rPr>
            <w:rStyle w:val="Hyperlink"/>
          </w:rPr>
          <w:t xml:space="preserve">Euronews</w:t>
        </w:r>
      </w:hyperlink>
      <w:r>
        <w:t xml:space="preserve"> </w:t>
      </w:r>
      <w:r>
        <w:t xml:space="preserve">y el</w:t>
      </w:r>
      <w:r>
        <w:t xml:space="preserve"> </w:t>
      </w:r>
      <w:hyperlink r:id="rId25">
        <w:r>
          <w:rPr>
            <w:rStyle w:val="Hyperlink"/>
          </w:rPr>
          <w:t xml:space="preserve">informe de la Comisión sobre las elecciones de 2024</w:t>
        </w:r>
      </w:hyperlink>
      <w:r>
        <w:t xml:space="preserve">:</w:t>
      </w:r>
    </w:p>
    <w:p>
      <w:pPr>
        <w:numPr>
          <w:ilvl w:val="1"/>
          <w:numId w:val="1003"/>
        </w:numPr>
        <w:pStyle w:val="Compact"/>
      </w:pPr>
      <w:r>
        <w:t xml:space="preserve">Falta de confianza o insatisfacción con la política:</w:t>
      </w:r>
      <w:r>
        <w:t xml:space="preserve"> </w:t>
      </w:r>
      <w:r>
        <w:rPr>
          <w:bCs/>
          <w:b/>
        </w:rPr>
        <w:t xml:space="preserve">21 %</w:t>
      </w:r>
      <w:r>
        <w:t xml:space="preserve"> </w:t>
      </w:r>
      <w:r>
        <w:t xml:space="preserve">(−1 punto respecto a 2019)</w:t>
      </w:r>
    </w:p>
    <w:p>
      <w:pPr>
        <w:numPr>
          <w:ilvl w:val="1"/>
          <w:numId w:val="1003"/>
        </w:numPr>
        <w:pStyle w:val="Compact"/>
      </w:pPr>
      <w:r>
        <w:t xml:space="preserve">Falta de interés por la política:</w:t>
      </w:r>
      <w:r>
        <w:t xml:space="preserve"> </w:t>
      </w:r>
      <w:r>
        <w:rPr>
          <w:bCs/>
          <w:b/>
        </w:rPr>
        <w:t xml:space="preserve">20 %</w:t>
      </w:r>
    </w:p>
    <w:p>
      <w:pPr>
        <w:numPr>
          <w:ilvl w:val="1"/>
          <w:numId w:val="1003"/>
        </w:numPr>
        <w:pStyle w:val="Compact"/>
      </w:pPr>
      <w:r>
        <w:t xml:space="preserve">El voto no tiene consecuencias o no cambia nada:</w:t>
      </w:r>
      <w:r>
        <w:t xml:space="preserve"> </w:t>
      </w:r>
      <w:r>
        <w:rPr>
          <w:bCs/>
          <w:b/>
        </w:rPr>
        <w:t xml:space="preserve">17 %</w:t>
      </w:r>
    </w:p>
    <w:p>
      <w:pPr>
        <w:numPr>
          <w:ilvl w:val="1"/>
          <w:numId w:val="1003"/>
        </w:numPr>
        <w:pStyle w:val="Compact"/>
      </w:pPr>
      <w:r>
        <w:t xml:space="preserve">De vacaciones o fuera de casa:</w:t>
      </w:r>
      <w:r>
        <w:t xml:space="preserve"> </w:t>
      </w:r>
      <w:r>
        <w:rPr>
          <w:bCs/>
          <w:b/>
        </w:rPr>
        <w:t xml:space="preserve">12 %</w:t>
      </w:r>
    </w:p>
    <w:p>
      <w:pPr>
        <w:numPr>
          <w:ilvl w:val="1"/>
          <w:numId w:val="1003"/>
        </w:numPr>
        <w:pStyle w:val="Compact"/>
      </w:pPr>
      <w:r>
        <w:t xml:space="preserve">Demasiado ocupado o trabajando:</w:t>
      </w:r>
      <w:r>
        <w:t xml:space="preserve"> </w:t>
      </w:r>
      <w:r>
        <w:rPr>
          <w:bCs/>
          <w:b/>
        </w:rPr>
        <w:t xml:space="preserve">12 %</w:t>
      </w:r>
    </w:p>
    <w:p>
      <w:pPr>
        <w:numPr>
          <w:ilvl w:val="1"/>
          <w:numId w:val="1003"/>
        </w:numPr>
        <w:pStyle w:val="Compact"/>
      </w:pPr>
      <w:r>
        <w:t xml:space="preserve">La</w:t>
      </w:r>
      <w:r>
        <w:t xml:space="preserve"> </w:t>
      </w:r>
      <w:hyperlink r:id="rId26">
        <w:r>
          <w:rPr>
            <w:rStyle w:val="Hyperlink"/>
          </w:rPr>
          <w:t xml:space="preserve">FEPS</w:t>
        </w:r>
      </w:hyperlink>
      <w:r>
        <w:t xml:space="preserve"> </w:t>
      </w:r>
      <w:r>
        <w:t xml:space="preserve">añade un dato útil para tu argumento: entre los jóvenes no votantes, el desinterés es el primer motivo (28 %), pero</w:t>
      </w:r>
      <w:r>
        <w:t xml:space="preserve"> </w:t>
      </w:r>
      <w:r>
        <w:t xml:space="preserve">“</w:t>
      </w:r>
      <w:r>
        <w:t xml:space="preserve">más del 70 % de los no votantes indicó otras razones</w:t>
      </w:r>
      <w:r>
        <w:t xml:space="preserve">”</w:t>
      </w:r>
      <w:r>
        <w:t xml:space="preserve">.</w:t>
      </w:r>
    </w:p>
    <w:p>
      <w:pPr>
        <w:numPr>
          <w:ilvl w:val="0"/>
          <w:numId w:val="1002"/>
        </w:numPr>
        <w:pStyle w:val="Compact"/>
      </w:pPr>
      <w:r>
        <w:rPr>
          <w:bCs/>
          <w:b/>
        </w:rPr>
        <w:t xml:space="preserve">España 2024:</w:t>
      </w:r>
      <w:r>
        <w:t xml:space="preserve"> </w:t>
      </w:r>
      <w:r>
        <w:t xml:space="preserve">según la crónica de ACN publicada por</w:t>
      </w:r>
      <w:r>
        <w:t xml:space="preserve"> </w:t>
      </w:r>
      <w:hyperlink r:id="rId27">
        <w:r>
          <w:rPr>
            <w:rStyle w:val="Hyperlink"/>
          </w:rPr>
          <w:t xml:space="preserve">El Nacional (3-10-2024)</w:t>
        </w:r>
      </w:hyperlink>
      <w:r>
        <w:t xml:space="preserve">, el primer motivo fue la</w:t>
      </w:r>
      <w:r>
        <w:t xml:space="preserve"> </w:t>
      </w:r>
      <w:r>
        <w:t xml:space="preserve">“</w:t>
      </w:r>
      <w:r>
        <w:t xml:space="preserve">falta de confianza en los políticos</w:t>
      </w:r>
      <w:r>
        <w:t xml:space="preserve">”</w:t>
      </w:r>
      <w:r>
        <w:t xml:space="preserve">, con un</w:t>
      </w:r>
      <w:r>
        <w:t xml:space="preserve"> </w:t>
      </w:r>
      <w:r>
        <w:rPr>
          <w:bCs/>
          <w:b/>
        </w:rPr>
        <w:t xml:space="preserve">25 %</w:t>
      </w:r>
      <w:r>
        <w:t xml:space="preserve"> </w:t>
      </w:r>
      <w:r>
        <w:t xml:space="preserve">de los abstencionistas españoles. Le siguen la</w:t>
      </w:r>
      <w:r>
        <w:t xml:space="preserve"> </w:t>
      </w:r>
      <w:r>
        <w:t xml:space="preserve">“</w:t>
      </w:r>
      <w:r>
        <w:t xml:space="preserve">falta de interés</w:t>
      </w:r>
      <w:r>
        <w:t xml:space="preserve">”</w:t>
      </w:r>
      <w:r>
        <w:t xml:space="preserve"> </w:t>
      </w:r>
      <w:r>
        <w:t xml:space="preserve">(porcentaje no indicado) y estar de vacaciones o</w:t>
      </w:r>
      <w:r>
        <w:t xml:space="preserve"> </w:t>
      </w:r>
      <w:r>
        <w:t xml:space="preserve">“</w:t>
      </w:r>
      <w:r>
        <w:t xml:space="preserve">lejos de casa</w:t>
      </w:r>
      <w:r>
        <w:t xml:space="preserve">”</w:t>
      </w:r>
      <w:r>
        <w:t xml:space="preserve">, con un</w:t>
      </w:r>
      <w:r>
        <w:t xml:space="preserve"> </w:t>
      </w:r>
      <w:r>
        <w:rPr>
          <w:bCs/>
          <w:b/>
        </w:rPr>
        <w:t xml:space="preserve">13 %</w:t>
      </w:r>
      <w:r>
        <w:t xml:space="preserve">. Por edades, no votó el 79 % de los menores de 24 años y el 65 % de quienes tienen entre 25 y 39. ⚠ Estas cifras no las he podido comprobar en la ficha nacional de España (</w:t>
      </w:r>
      <w:hyperlink r:id="rId28">
        <w:r>
          <w:rPr>
            <w:rStyle w:val="Hyperlink"/>
          </w:rPr>
          <w:t xml:space="preserve">página de la encuesta, con la ficha</w:t>
        </w:r>
        <w:r>
          <w:rPr>
            <w:rStyle w:val="Hyperlink"/>
          </w:rPr>
          <w:t xml:space="preserve"> </w:t>
        </w:r>
        <w:r>
          <w:rPr>
            <w:rStyle w:val="Hyperlink"/>
          </w:rPr>
          <w:t xml:space="preserve">“</w:t>
        </w:r>
        <w:r>
          <w:rPr>
            <w:rStyle w:val="Hyperlink"/>
          </w:rPr>
          <w:t xml:space="preserve">España – EN</w:t>
        </w:r>
        <w:r>
          <w:rPr>
            <w:rStyle w:val="Hyperlink"/>
          </w:rPr>
          <w:t xml:space="preserve">”</w:t>
        </w:r>
        <w:r>
          <w:rPr>
            <w:rStyle w:val="Hyperlink"/>
          </w:rPr>
          <w:t xml:space="preserve"> </w:t>
        </w:r>
        <w:r>
          <w:rPr>
            <w:rStyle w:val="Hyperlink"/>
          </w:rPr>
          <w:t xml:space="preserve">y el anexo de resultados</w:t>
        </w:r>
      </w:hyperlink>
      <w:r>
        <w:t xml:space="preserve">), porque la página se carga de forma dinámica. Antes de citarlas, descarga la ficha.</w:t>
      </w:r>
    </w:p>
    <w:p>
      <w:pPr>
        <w:numPr>
          <w:ilvl w:val="0"/>
          <w:numId w:val="1002"/>
        </w:numPr>
        <w:pStyle w:val="Compact"/>
      </w:pPr>
      <w:r>
        <w:rPr>
          <w:bCs/>
          <w:b/>
        </w:rPr>
        <w:t xml:space="preserve">2019</w:t>
      </w:r>
      <w:r>
        <w:t xml:space="preserve"> </w:t>
      </w:r>
      <w:r>
        <w:t xml:space="preserve">(Kantar): media UE de</w:t>
      </w:r>
      <w:r>
        <w:t xml:space="preserve"> </w:t>
      </w:r>
      <w:r>
        <w:rPr>
          <w:bCs/>
          <w:b/>
        </w:rPr>
        <w:t xml:space="preserve">22 %</w:t>
      </w:r>
      <w:r>
        <w:t xml:space="preserve"> </w:t>
      </w:r>
      <w:r>
        <w:t xml:space="preserve">por falta de confianza o insatisfacción con la política y</w:t>
      </w:r>
      <w:r>
        <w:t xml:space="preserve"> </w:t>
      </w:r>
      <w:r>
        <w:rPr>
          <w:bCs/>
          <w:b/>
        </w:rPr>
        <w:t xml:space="preserve">18 %</w:t>
      </w:r>
      <w:r>
        <w:t xml:space="preserve"> </w:t>
      </w:r>
      <w:r>
        <w:t xml:space="preserve">por falta de interés, según el</w:t>
      </w:r>
      <w:r>
        <w:t xml:space="preserve"> </w:t>
      </w:r>
      <w:hyperlink r:id="rId29">
        <w:r>
          <w:rPr>
            <w:rStyle w:val="Hyperlink"/>
          </w:rPr>
          <w:t xml:space="preserve">documento de trabajo de la Comisión SWD(2020) 113</w:t>
        </w:r>
      </w:hyperlink>
      <w:r>
        <w:t xml:space="preserve">. La ficha de España existe (</w:t>
      </w:r>
      <w:hyperlink r:id="rId30">
        <w:r>
          <w:rPr>
            <w:rStyle w:val="Hyperlink"/>
          </w:rPr>
          <w:t xml:space="preserve">encuesta 2312</w:t>
        </w:r>
      </w:hyperlink>
      <w:r>
        <w:t xml:space="preserve">), pero no he podido extraer sus cifras.</w:t>
      </w:r>
    </w:p>
    <w:p>
      <w:pPr>
        <w:numPr>
          <w:ilvl w:val="0"/>
          <w:numId w:val="1002"/>
        </w:numPr>
        <w:pStyle w:val="Compact"/>
      </w:pPr>
      <w:r>
        <w:rPr>
          <w:bCs/>
          <w:b/>
        </w:rPr>
        <w:t xml:space="preserve">2014:</w:t>
      </w:r>
      <w:r>
        <w:t xml:space="preserve"> </w:t>
      </w:r>
      <w:r>
        <w:t xml:space="preserve">la síntesis analítica del PE afirma que la falta de confianza en la política fue el motivo más citado en España, con un</w:t>
      </w:r>
      <w:r>
        <w:t xml:space="preserve"> </w:t>
      </w:r>
      <w:r>
        <w:rPr>
          <w:bCs/>
          <w:b/>
        </w:rPr>
        <w:t xml:space="preserve">30 % (+4 respecto a 2009)</w:t>
      </w:r>
      <w:r>
        <w:t xml:space="preserve">, y en el conjunto de la UE un 23 % (</w:t>
      </w:r>
      <w:hyperlink r:id="rId31">
        <w:r>
          <w:rPr>
            <w:rStyle w:val="Hyperlink"/>
          </w:rPr>
          <w:t xml:space="preserve">PE, 2014 post-election survey</w:t>
        </w:r>
      </w:hyperlink>
      <w:r>
        <w:t xml:space="preserve">). Es el dato para España más sólido de fuente primaria y no-CIS.</w:t>
      </w:r>
    </w:p>
    <w:p>
      <w:pPr>
        <w:pStyle w:val="FirstParagraph"/>
      </w:pPr>
      <w:r>
        <w:rPr>
          <w:bCs/>
          <w:b/>
        </w:rPr>
        <w:t xml:space="preserve">Otras encuestas no-CIS</w:t>
      </w:r>
    </w:p>
    <w:p>
      <w:pPr>
        <w:numPr>
          <w:ilvl w:val="0"/>
          <w:numId w:val="1004"/>
        </w:numPr>
        <w:pStyle w:val="Compact"/>
      </w:pPr>
      <w:r>
        <w:rPr>
          <w:bCs/>
          <w:b/>
        </w:rPr>
        <w:t xml:space="preserve">Gobierno Vasco, sondeo postelectoral de las autonómicas de abril de 2024:</w:t>
      </w:r>
      <w:r>
        <w:t xml:space="preserve"> </w:t>
      </w:r>
      <w:r>
        <w:t xml:space="preserve">“</w:t>
      </w:r>
      <w:r>
        <w:t xml:space="preserve">el desencanto con la política y las y los políticos es la razón principal para no acudir a votar (</w:t>
      </w:r>
      <w:r>
        <w:rPr>
          <w:bCs/>
          <w:b/>
        </w:rPr>
        <w:t xml:space="preserve">31 %</w:t>
      </w:r>
      <w:r>
        <w:t xml:space="preserve">)</w:t>
      </w:r>
      <w:r>
        <w:t xml:space="preserve">”</w:t>
      </w:r>
      <w:r>
        <w:t xml:space="preserve">; 900 entrevistas telefónicas (</w:t>
      </w:r>
      <w:hyperlink r:id="rId32">
        <w:r>
          <w:rPr>
            <w:rStyle w:val="Hyperlink"/>
          </w:rPr>
          <w:t xml:space="preserve">nota del Gobierno Vasco</w:t>
        </w:r>
      </w:hyperlink>
      <w:r>
        <w:t xml:space="preserve">). Es solo la CAPV y unas autonómicas, pero es una fuente pública no-CIS.</w:t>
      </w:r>
    </w:p>
    <w:p>
      <w:pPr>
        <w:numPr>
          <w:ilvl w:val="0"/>
          <w:numId w:val="1004"/>
        </w:numPr>
        <w:pStyle w:val="Compact"/>
      </w:pPr>
      <w:r>
        <w:rPr>
          <w:bCs/>
          <w:b/>
        </w:rPr>
        <w:t xml:space="preserve">Injuve, Sondeo 2017.1 (participación y cultura política):</w:t>
      </w:r>
      <w:r>
        <w:t xml:space="preserve"> </w:t>
      </w:r>
      <w:r>
        <w:t xml:space="preserve">“</w:t>
      </w:r>
      <w:r>
        <w:t xml:space="preserve">desconfianza</w:t>
      </w:r>
      <w:r>
        <w:t xml:space="preserve">”</w:t>
      </w:r>
      <w:r>
        <w:t xml:space="preserve"> </w:t>
      </w:r>
      <w:r>
        <w:t xml:space="preserve">es la palabra que más jóvenes asocian a la política (</w:t>
      </w:r>
      <w:r>
        <w:rPr>
          <w:bCs/>
          <w:b/>
        </w:rPr>
        <w:t xml:space="preserve">48 %</w:t>
      </w:r>
      <w:r>
        <w:t xml:space="preserve">), y el sondeo pregunta por la frase</w:t>
      </w:r>
      <w:r>
        <w:t xml:space="preserve"> </w:t>
      </w:r>
      <w:r>
        <w:t xml:space="preserve">“</w:t>
      </w:r>
      <w:r>
        <w:t xml:space="preserve">no votar es una postura tan legítima como hacerlo</w:t>
      </w:r>
      <w:r>
        <w:t xml:space="preserve">”</w:t>
      </w:r>
      <w:r>
        <w:t xml:space="preserve"> </w:t>
      </w:r>
      <w:r>
        <w:t xml:space="preserve">(</w:t>
      </w:r>
      <w:hyperlink r:id="rId33">
        <w:r>
          <w:rPr>
            <w:rStyle w:val="Hyperlink"/>
          </w:rPr>
          <w:t xml:space="preserve">Injuve</w:t>
        </w:r>
      </w:hyperlink>
      <w:r>
        <w:t xml:space="preserve">). ⚠ Algunos estudios del Injuve se hicieron en colaboración con el CIS (por ejemplo, el estudio 2.609); conviene comprobar quién hizo el trabajo de campo.</w:t>
      </w:r>
    </w:p>
    <w:p>
      <w:pPr>
        <w:numPr>
          <w:ilvl w:val="0"/>
          <w:numId w:val="1004"/>
        </w:numPr>
        <w:pStyle w:val="Compact"/>
      </w:pPr>
      <w:r>
        <w:rPr>
          <w:bCs/>
          <w:b/>
        </w:rPr>
        <w:t xml:space="preserve">40dB, Sigma Dos, GAD3, Metroscopia, Fundación BBVA, Funcas, OCDE, IDEA:</w:t>
      </w:r>
      <w:r>
        <w:t xml:space="preserve"> </w:t>
      </w:r>
      <w:r>
        <w:t xml:space="preserve">no he encontrado ninguna encuesta pública que pregunte por qué no se votó el 23-J. Tómalo como no verificado, no como prueba de que no exista.</w:t>
      </w:r>
    </w:p>
    <w:bookmarkEnd w:id="34"/>
    <w:bookmarkStart w:id="37" w:name="fuentes-cis-señaladas-para-que-decidas"/>
    <w:p>
      <w:pPr>
        <w:pStyle w:val="Heading2"/>
      </w:pPr>
      <w:r>
        <w:t xml:space="preserve">1.3 Fuentes CIS (señaladas para que decidas)</w:t>
      </w:r>
    </w:p>
    <w:p>
      <w:pPr>
        <w:numPr>
          <w:ilvl w:val="0"/>
          <w:numId w:val="1005"/>
        </w:numPr>
        <w:pStyle w:val="Compact"/>
      </w:pPr>
      <w:r>
        <w:rPr>
          <w:bCs/>
          <w:b/>
        </w:rPr>
        <w:t xml:space="preserve">Postelectoral de las generales de 2023 (Barómetro de septiembre de 2023, estudio 3420; 10.104 entrevistas CATI, del 1 al 12-9-2023)</w:t>
      </w:r>
      <w:r>
        <w:t xml:space="preserve">, motivos para no votar el 23-J (</w:t>
      </w:r>
      <w:hyperlink r:id="rId35">
        <w:r>
          <w:rPr>
            <w:rStyle w:val="Hyperlink"/>
          </w:rPr>
          <w:t xml:space="preserve">PDF de resultados</w:t>
        </w:r>
      </w:hyperlink>
      <w:r>
        <w:t xml:space="preserve">):</w:t>
      </w:r>
    </w:p>
    <w:p>
      <w:pPr>
        <w:numPr>
          <w:ilvl w:val="1"/>
          <w:numId w:val="1006"/>
        </w:numPr>
        <w:pStyle w:val="Compact"/>
      </w:pPr>
      <w:r>
        <w:t xml:space="preserve">No le inspiraba confianza ningún partido ni ningún político:</w:t>
      </w:r>
      <w:r>
        <w:t xml:space="preserve"> </w:t>
      </w:r>
      <w:r>
        <w:rPr>
          <w:bCs/>
          <w:b/>
        </w:rPr>
        <w:t xml:space="preserve">23,9 %</w:t>
      </w:r>
    </w:p>
    <w:p>
      <w:pPr>
        <w:numPr>
          <w:ilvl w:val="1"/>
          <w:numId w:val="1006"/>
        </w:numPr>
        <w:pStyle w:val="Compact"/>
      </w:pPr>
      <w:r>
        <w:t xml:space="preserve">No se sentía representado por ningún partido:</w:t>
      </w:r>
      <w:r>
        <w:t xml:space="preserve"> </w:t>
      </w:r>
      <w:r>
        <w:rPr>
          <w:bCs/>
          <w:b/>
        </w:rPr>
        <w:t xml:space="preserve">13,1 %</w:t>
      </w:r>
    </w:p>
    <w:p>
      <w:pPr>
        <w:numPr>
          <w:ilvl w:val="1"/>
          <w:numId w:val="1006"/>
        </w:numPr>
        <w:pStyle w:val="Compact"/>
      </w:pPr>
      <w:r>
        <w:t xml:space="preserve">No cree en la política, no tiene interés:</w:t>
      </w:r>
      <w:r>
        <w:t xml:space="preserve"> </w:t>
      </w:r>
      <w:r>
        <w:rPr>
          <w:bCs/>
          <w:b/>
        </w:rPr>
        <w:t xml:space="preserve">10,7 %</w:t>
      </w:r>
    </w:p>
    <w:p>
      <w:pPr>
        <w:numPr>
          <w:ilvl w:val="1"/>
          <w:numId w:val="1006"/>
        </w:numPr>
        <w:pStyle w:val="Compact"/>
      </w:pPr>
      <w:r>
        <w:t xml:space="preserve">Para mostrar su descontento:</w:t>
      </w:r>
      <w:r>
        <w:t xml:space="preserve"> </w:t>
      </w:r>
      <w:r>
        <w:rPr>
          <w:bCs/>
          <w:b/>
        </w:rPr>
        <w:t xml:space="preserve">8,0 %</w:t>
      </w:r>
    </w:p>
    <w:p>
      <w:pPr>
        <w:numPr>
          <w:ilvl w:val="1"/>
          <w:numId w:val="1006"/>
        </w:numPr>
        <w:pStyle w:val="Compact"/>
      </w:pPr>
      <w:r>
        <w:t xml:space="preserve">Motivos de salud:</w:t>
      </w:r>
      <w:r>
        <w:t xml:space="preserve"> </w:t>
      </w:r>
      <w:r>
        <w:rPr>
          <w:bCs/>
          <w:b/>
        </w:rPr>
        <w:t xml:space="preserve">6,3 %</w:t>
      </w:r>
      <w:r>
        <w:t xml:space="preserve">; familiares:</w:t>
      </w:r>
      <w:r>
        <w:t xml:space="preserve"> </w:t>
      </w:r>
      <w:r>
        <w:rPr>
          <w:bCs/>
          <w:b/>
        </w:rPr>
        <w:t xml:space="preserve">5,4 %</w:t>
      </w:r>
      <w:r>
        <w:t xml:space="preserve">; de trabajo:</w:t>
      </w:r>
      <w:r>
        <w:t xml:space="preserve"> </w:t>
      </w:r>
      <w:r>
        <w:rPr>
          <w:bCs/>
          <w:b/>
        </w:rPr>
        <w:t xml:space="preserve">4,3 %</w:t>
      </w:r>
    </w:p>
    <w:p>
      <w:pPr>
        <w:numPr>
          <w:ilvl w:val="1"/>
          <w:numId w:val="1006"/>
        </w:numPr>
        <w:pStyle w:val="Compact"/>
      </w:pPr>
      <w:r>
        <w:t xml:space="preserve">Su voto no iba a servir para nada:</w:t>
      </w:r>
      <w:r>
        <w:t xml:space="preserve"> </w:t>
      </w:r>
      <w:r>
        <w:rPr>
          <w:bCs/>
          <w:b/>
        </w:rPr>
        <w:t xml:space="preserve">4,8 %</w:t>
      </w:r>
    </w:p>
    <w:p>
      <w:pPr>
        <w:numPr>
          <w:ilvl w:val="1"/>
          <w:numId w:val="1006"/>
        </w:numPr>
        <w:pStyle w:val="Compact"/>
      </w:pPr>
      <w:r>
        <w:t xml:space="preserve">Nunca vota:</w:t>
      </w:r>
      <w:r>
        <w:t xml:space="preserve"> </w:t>
      </w:r>
      <w:r>
        <w:rPr>
          <w:bCs/>
          <w:b/>
        </w:rPr>
        <w:t xml:space="preserve">4,3 %</w:t>
      </w:r>
    </w:p>
    <w:p>
      <w:pPr>
        <w:numPr>
          <w:ilvl w:val="1"/>
          <w:numId w:val="1006"/>
        </w:numPr>
        <w:pStyle w:val="Compact"/>
      </w:pPr>
      <w:r>
        <w:t xml:space="preserve">Corrupción y escándalos:</w:t>
      </w:r>
      <w:r>
        <w:t xml:space="preserve"> </w:t>
      </w:r>
      <w:r>
        <w:rPr>
          <w:bCs/>
          <w:b/>
        </w:rPr>
        <w:t xml:space="preserve">2,2 %</w:t>
      </w:r>
    </w:p>
    <w:p>
      <w:pPr>
        <w:numPr>
          <w:ilvl w:val="0"/>
          <w:numId w:val="1000"/>
        </w:numPr>
        <w:pStyle w:val="Compact"/>
      </w:pPr>
      <w:r>
        <w:t xml:space="preserve">⚠ No he podido confirmar la base exacta (submuestra de no votantes) ni si la pregunta admitía respuesta múltiple. Aun así, la suma de desconfianza, falta de representación, descontento y corrupción (~47 %) supera con mucho al desinterés (10,7 %).</w:t>
      </w:r>
    </w:p>
    <w:p>
      <w:pPr>
        <w:numPr>
          <w:ilvl w:val="0"/>
          <w:numId w:val="1005"/>
        </w:numPr>
        <w:pStyle w:val="Compact"/>
      </w:pPr>
      <w:r>
        <w:rPr>
          <w:bCs/>
          <w:b/>
        </w:rPr>
        <w:t xml:space="preserve">Postelectoral de las europeas de 2024 (estudio 3465):</w:t>
      </w:r>
      <w:r>
        <w:t xml:space="preserve"> </w:t>
      </w:r>
      <w:r>
        <w:t xml:space="preserve">entre quienes no quisieron votar, el</w:t>
      </w:r>
      <w:r>
        <w:t xml:space="preserve"> </w:t>
      </w:r>
      <w:r>
        <w:rPr>
          <w:bCs/>
          <w:b/>
        </w:rPr>
        <w:t xml:space="preserve">20,2 %</w:t>
      </w:r>
      <w:r>
        <w:t xml:space="preserve"> </w:t>
      </w:r>
      <w:r>
        <w:t xml:space="preserve">respondió</w:t>
      </w:r>
      <w:r>
        <w:t xml:space="preserve"> </w:t>
      </w:r>
      <w:r>
        <w:t xml:space="preserve">“</w:t>
      </w:r>
      <w:r>
        <w:t xml:space="preserve">da lo mismo votar que no votar, no sirve para nada</w:t>
      </w:r>
      <w:r>
        <w:t xml:space="preserve">”</w:t>
      </w:r>
      <w:r>
        <w:t xml:space="preserve"> </w:t>
      </w:r>
      <w:r>
        <w:t xml:space="preserve">(</w:t>
      </w:r>
      <w:hyperlink r:id="rId36">
        <w:r>
          <w:rPr>
            <w:rStyle w:val="Hyperlink"/>
          </w:rPr>
          <w:t xml:space="preserve">CIS</w:t>
        </w:r>
      </w:hyperlink>
      <w:r>
        <w:t xml:space="preserve">).</w:t>
      </w:r>
    </w:p>
    <w:p>
      <w:pPr>
        <w:numPr>
          <w:ilvl w:val="0"/>
          <w:numId w:val="1005"/>
        </w:numPr>
        <w:pStyle w:val="Compact"/>
      </w:pPr>
      <w:r>
        <w:rPr>
          <w:bCs/>
          <w:b/>
        </w:rPr>
        <w:t xml:space="preserve">Postelectorales de las generales de 2019:</w:t>
      </w:r>
      <w:r>
        <w:t xml:space="preserve"> </w:t>
      </w:r>
      <w:r>
        <w:t xml:space="preserve">no verificados en esta investigación.</w:t>
      </w:r>
    </w:p>
    <w:bookmarkEnd w:id="37"/>
    <w:bookmarkEnd w:id="38"/>
    <w:bookmarkStart w:id="48" w:name="X7906e7ed2b04232dea6f4a883476d53f82aa6ef"/>
    <w:p>
      <w:pPr>
        <w:pStyle w:val="Heading1"/>
      </w:pPr>
      <w:r>
        <w:t xml:space="preserve">2. Literatura sobre abstención crítica frente a apatía</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tcMar>
              <w:top w:w="70" w:type="dxa"/>
              <w:bottom w:w="70" w:type="dxa"/>
              <w:left w:w="100" w:type="dxa"/>
              <w:right w:w="100" w:type="dxa"/>
            </w:tcMar>
            <w:shd w:val="clear" w:color="auto" w:fill="D9E2F3"/>
          </w:tcPr>
          <w:p>
            <w:pPr>
              <w:pStyle w:val="Compact"/>
              <w:spacing w:after="40"/>
              <w:jc w:val="left"/>
            </w:pPr>
            <w:r>
              <w:rPr>
                <w:b/>
                <w:sz w:val="19"/>
              </w:rPr>
              <w:t xml:space="preserve">Referencia</w:t>
            </w:r>
          </w:p>
        </w:tc>
        <w:tc>
          <w:tcPr>
            <w:tcMar>
              <w:top w:w="70" w:type="dxa"/>
              <w:bottom w:w="70" w:type="dxa"/>
              <w:left w:w="100" w:type="dxa"/>
              <w:right w:w="100" w:type="dxa"/>
            </w:tcMar>
            <w:shd w:val="clear" w:color="auto" w:fill="D9E2F3"/>
          </w:tcPr>
          <w:p>
            <w:pPr>
              <w:pStyle w:val="Compact"/>
              <w:spacing w:after="40"/>
              <w:jc w:val="left"/>
            </w:pPr>
            <w:r>
              <w:rPr>
                <w:b/>
                <w:sz w:val="19"/>
              </w:rPr>
              <w:t xml:space="preserve">Datos bibliográficos</w:t>
            </w:r>
          </w:p>
        </w:tc>
        <w:tc>
          <w:tcPr>
            <w:tcMar>
              <w:top w:w="70" w:type="dxa"/>
              <w:bottom w:w="70" w:type="dxa"/>
              <w:left w:w="100" w:type="dxa"/>
              <w:right w:w="100" w:type="dxa"/>
            </w:tcMar>
            <w:shd w:val="clear" w:color="auto" w:fill="D9E2F3"/>
          </w:tcPr>
          <w:p>
            <w:pPr>
              <w:pStyle w:val="Compact"/>
              <w:spacing w:after="40"/>
              <w:jc w:val="left"/>
            </w:pPr>
            <w:r>
              <w:rPr>
                <w:b/>
                <w:sz w:val="19"/>
              </w:rPr>
              <w:t xml:space="preserve">Hallazgo (frase fiel)</w:t>
            </w:r>
          </w:p>
        </w:tc>
      </w:tr>
      <w:tr>
        <w:tc>
          <w:tcPr>
            <w:tcMar>
              <w:top w:w="70" w:type="dxa"/>
              <w:bottom w:w="70" w:type="dxa"/>
              <w:left w:w="100" w:type="dxa"/>
              <w:right w:w="100" w:type="dxa"/>
            </w:tcMar>
          </w:tcPr>
          <w:p>
            <w:pPr>
              <w:pStyle w:val="Compact"/>
              <w:spacing w:after="40"/>
              <w:jc w:val="left"/>
            </w:pPr>
            <w:r>
              <w:rPr>
                <w:sz w:val="19"/>
              </w:rPr>
              <w:t xml:space="preserve">Hooghe, M. y Marien, S. (2013)</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A Comparative Analysis of the Relation between Political Trust and Forms of Political Participation in Europe</w:t>
            </w:r>
            <w:r>
              <w:rPr>
                <w:sz w:val="19"/>
              </w:rPr>
              <w:t xml:space="preserve">”</w:t>
            </w:r>
            <w:r>
              <w:rPr>
                <w:sz w:val="19"/>
              </w:rPr>
              <w:t xml:space="preserve">,</w:t>
            </w:r>
            <w:r>
              <w:rPr>
                <w:sz w:val="19"/>
              </w:rPr>
              <w:t xml:space="preserve"> </w:t>
            </w:r>
            <w:r>
              <w:rPr>
                <w:iCs/>
                <w:i/>
                <w:sz w:val="19"/>
              </w:rPr>
              <w:t xml:space="preserve">European Societies</w:t>
            </w:r>
            <w:r>
              <w:rPr>
                <w:sz w:val="19"/>
              </w:rPr>
              <w:t xml:space="preserve">, 15(1), 131–152.</w:t>
            </w:r>
            <w:r>
              <w:rPr>
                <w:sz w:val="19"/>
              </w:rPr>
              <w:t xml:space="preserve"> </w:t>
            </w:r>
            <w:hyperlink r:id="rId39">
              <w:r>
                <w:rPr>
                  <w:rStyle w:val="Hyperlink"/>
                </w:rPr>
                <w:t xml:space="preserve">doi:10.1080/14616696.2012.692807</w:t>
              </w:r>
            </w:hyperlink>
          </w:p>
        </w:tc>
        <w:tc>
          <w:tcPr>
            <w:tcMar>
              <w:top w:w="70" w:type="dxa"/>
              <w:bottom w:w="70" w:type="dxa"/>
              <w:left w:w="100" w:type="dxa"/>
              <w:right w:w="100" w:type="dxa"/>
            </w:tcMar>
          </w:tcPr>
          <w:p>
            <w:pPr>
              <w:pStyle w:val="Compact"/>
              <w:spacing w:after="40"/>
              <w:jc w:val="left"/>
            </w:pPr>
            <w:r>
              <w:rPr>
                <w:sz w:val="19"/>
              </w:rPr>
              <w:t xml:space="preserve">Con la ESS 2006 (25 países):</w:t>
            </w:r>
            <w:r>
              <w:rPr>
                <w:sz w:val="19"/>
              </w:rPr>
              <w:t xml:space="preserve"> </w:t>
            </w:r>
            <w:r>
              <w:rPr>
                <w:sz w:val="19"/>
              </w:rPr>
              <w:t xml:space="preserve">“</w:t>
            </w:r>
            <w:r>
              <w:rPr>
                <w:sz w:val="19"/>
              </w:rPr>
              <w:t xml:space="preserve">while political trust is positively associated with institutionalised participation, it is negatively associated with non-institutionalised participation</w:t>
            </w:r>
            <w:r>
              <w:rPr>
                <w:sz w:val="19"/>
              </w:rPr>
              <w:t xml:space="preserve">”</w:t>
            </w:r>
            <w:r>
              <w:rPr>
                <w:sz w:val="19"/>
              </w:rPr>
              <w:t xml:space="preserve">; la confianza</w:t>
            </w:r>
            <w:r>
              <w:rPr>
                <w:sz w:val="19"/>
              </w:rPr>
              <w:t xml:space="preserve"> </w:t>
            </w:r>
            <w:r>
              <w:rPr>
                <w:sz w:val="19"/>
              </w:rPr>
              <w:t xml:space="preserve">“</w:t>
            </w:r>
            <w:r>
              <w:rPr>
                <w:sz w:val="19"/>
              </w:rPr>
              <w:t xml:space="preserve">seems to boost institutionalised participation and voting in particular</w:t>
            </w:r>
            <w:r>
              <w:rPr>
                <w:sz w:val="19"/>
              </w:rPr>
              <w:t xml:space="preserve">”</w:t>
            </w:r>
            <w:r>
              <w:rPr>
                <w:sz w:val="19"/>
              </w:rPr>
              <w:t xml:space="preserve">.</w:t>
            </w:r>
          </w:p>
        </w:tc>
      </w:tr>
      <w:tr>
        <w:tc>
          <w:tcPr>
            <w:tcMar>
              <w:top w:w="70" w:type="dxa"/>
              <w:bottom w:w="70" w:type="dxa"/>
              <w:left w:w="100" w:type="dxa"/>
              <w:right w:w="100" w:type="dxa"/>
            </w:tcMar>
          </w:tcPr>
          <w:p>
            <w:pPr>
              <w:pStyle w:val="Compact"/>
              <w:spacing w:after="40"/>
              <w:jc w:val="left"/>
            </w:pPr>
            <w:r>
              <w:rPr>
                <w:sz w:val="19"/>
              </w:rPr>
              <w:t xml:space="preserve">Marien, S., Hooghe, M. y Quintelier, E. (2010)</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Inequalities in Non-institutionalised Forms of Political Participation: A Multi-level Analysis of 25 Countries</w:t>
            </w:r>
            <w:r>
              <w:rPr>
                <w:sz w:val="19"/>
              </w:rPr>
              <w:t xml:space="preserve">”</w:t>
            </w:r>
            <w:r>
              <w:rPr>
                <w:sz w:val="19"/>
              </w:rPr>
              <w:t xml:space="preserve">,</w:t>
            </w:r>
            <w:r>
              <w:rPr>
                <w:sz w:val="19"/>
              </w:rPr>
              <w:t xml:space="preserve"> </w:t>
            </w:r>
            <w:r>
              <w:rPr>
                <w:iCs/>
                <w:i/>
                <w:sz w:val="19"/>
              </w:rPr>
              <w:t xml:space="preserve">Political Studies</w:t>
            </w:r>
            <w:r>
              <w:rPr>
                <w:sz w:val="19"/>
              </w:rPr>
              <w:t xml:space="preserve">, 58(1), 187–213.</w:t>
            </w:r>
            <w:r>
              <w:rPr>
                <w:sz w:val="19"/>
              </w:rPr>
              <w:t xml:space="preserve"> </w:t>
            </w:r>
            <w:hyperlink r:id="rId40">
              <w:r>
                <w:rPr>
                  <w:rStyle w:val="Hyperlink"/>
                </w:rPr>
                <w:t xml:space="preserve">doi:10.1111/j.1467-9248.2009.00801.x</w:t>
              </w:r>
            </w:hyperlink>
          </w:p>
        </w:tc>
        <w:tc>
          <w:tcPr>
            <w:tcMar>
              <w:top w:w="70" w:type="dxa"/>
              <w:bottom w:w="70" w:type="dxa"/>
              <w:left w:w="100" w:type="dxa"/>
              <w:right w:w="100" w:type="dxa"/>
            </w:tcMar>
          </w:tcPr>
          <w:p>
            <w:pPr>
              <w:pStyle w:val="Compact"/>
              <w:spacing w:after="40"/>
              <w:jc w:val="left"/>
            </w:pPr>
            <w:r>
              <w:rPr>
                <w:sz w:val="19"/>
              </w:rPr>
              <w:t xml:space="preserve">Las formas no institucionales (manifestarse, consumo político, peticiones) crecen mientras declinan las electorales; reducen las brechas de género y edad, pero aumentan la educativa.</w:t>
            </w:r>
          </w:p>
        </w:tc>
      </w:tr>
      <w:tr>
        <w:tc>
          <w:tcPr>
            <w:tcMar>
              <w:top w:w="70" w:type="dxa"/>
              <w:bottom w:w="70" w:type="dxa"/>
              <w:left w:w="100" w:type="dxa"/>
              <w:right w:w="100" w:type="dxa"/>
            </w:tcMar>
          </w:tcPr>
          <w:p>
            <w:pPr>
              <w:pStyle w:val="Compact"/>
              <w:spacing w:after="40"/>
              <w:jc w:val="left"/>
            </w:pPr>
            <w:r>
              <w:rPr>
                <w:sz w:val="19"/>
              </w:rPr>
              <w:t xml:space="preserve">Anduiza, E. (1999)</w:t>
            </w:r>
          </w:p>
        </w:tc>
        <w:tc>
          <w:tcPr>
            <w:tcMar>
              <w:top w:w="70" w:type="dxa"/>
              <w:bottom w:w="70" w:type="dxa"/>
              <w:left w:w="100" w:type="dxa"/>
              <w:right w:w="100" w:type="dxa"/>
            </w:tcMar>
          </w:tcPr>
          <w:p>
            <w:pPr>
              <w:pStyle w:val="Compact"/>
              <w:spacing w:after="40"/>
              <w:jc w:val="left"/>
            </w:pPr>
            <w:r>
              <w:rPr>
                <w:iCs/>
                <w:i/>
                <w:sz w:val="19"/>
              </w:rPr>
              <w:t xml:space="preserve">¿Individuos o sistemas? Las razones de la abstención en Europa Occidental</w:t>
            </w:r>
            <w:r>
              <w:rPr>
                <w:sz w:val="19"/>
              </w:rPr>
              <w:t xml:space="preserve">, Madrid, CIS (colección Monografías) (</w:t>
            </w:r>
            <w:hyperlink r:id="rId41">
              <w:r>
                <w:rPr>
                  <w:rStyle w:val="Hyperlink"/>
                </w:rPr>
                <w:t xml:space="preserve">ficha</w:t>
              </w:r>
            </w:hyperlink>
            <w:r>
              <w:rPr>
                <w:sz w:val="19"/>
              </w:rPr>
              <w:t xml:space="preserve">)</w:t>
            </w:r>
          </w:p>
        </w:tc>
        <w:tc>
          <w:tcPr>
            <w:tcMar>
              <w:top w:w="70" w:type="dxa"/>
              <w:bottom w:w="70" w:type="dxa"/>
              <w:left w:w="100" w:type="dxa"/>
              <w:right w:w="100" w:type="dxa"/>
            </w:tcMar>
          </w:tcPr>
          <w:p>
            <w:pPr>
              <w:pStyle w:val="Compact"/>
              <w:spacing w:after="40"/>
              <w:jc w:val="left"/>
            </w:pPr>
            <w:r>
              <w:rPr>
                <w:sz w:val="19"/>
              </w:rPr>
              <w:t xml:space="preserve">Analiza conjuntamente los recursos individuales, la integración social y el compromiso político, junto con los incentivos institucionales; el peso del contexto varía según el tipo de ciudadano.</w:t>
            </w:r>
          </w:p>
        </w:tc>
      </w:tr>
      <w:tr>
        <w:tc>
          <w:tcPr>
            <w:tcMar>
              <w:top w:w="70" w:type="dxa"/>
              <w:bottom w:w="70" w:type="dxa"/>
              <w:left w:w="100" w:type="dxa"/>
              <w:right w:w="100" w:type="dxa"/>
            </w:tcMar>
          </w:tcPr>
          <w:p>
            <w:pPr>
              <w:pStyle w:val="Compact"/>
              <w:spacing w:after="40"/>
              <w:jc w:val="left"/>
            </w:pPr>
            <w:r>
              <w:rPr>
                <w:sz w:val="19"/>
              </w:rPr>
              <w:t xml:space="preserve">Anduiza Perea, E. (2002)</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Individual characteristics, institutional incentives and electoral abstention in Western Europe</w:t>
            </w:r>
            <w:r>
              <w:rPr>
                <w:sz w:val="19"/>
              </w:rPr>
              <w:t xml:space="preserve">”</w:t>
            </w:r>
            <w:r>
              <w:rPr>
                <w:sz w:val="19"/>
              </w:rPr>
              <w:t xml:space="preserve">,</w:t>
            </w:r>
            <w:r>
              <w:rPr>
                <w:sz w:val="19"/>
              </w:rPr>
              <w:t xml:space="preserve"> </w:t>
            </w:r>
            <w:r>
              <w:rPr>
                <w:iCs/>
                <w:i/>
                <w:sz w:val="19"/>
              </w:rPr>
              <w:t xml:space="preserve">European Journal of Political Research</w:t>
            </w:r>
            <w:r>
              <w:rPr>
                <w:sz w:val="19"/>
              </w:rPr>
              <w:t xml:space="preserve">, 41(5).</w:t>
            </w:r>
            <w:r>
              <w:rPr>
                <w:sz w:val="19"/>
              </w:rPr>
              <w:t xml:space="preserve"> </w:t>
            </w:r>
            <w:hyperlink r:id="rId42">
              <w:r>
                <w:rPr>
                  <w:rStyle w:val="Hyperlink"/>
                </w:rPr>
                <w:t xml:space="preserve">doi:10.1111/1475-6765.00025</w:t>
              </w:r>
            </w:hyperlink>
          </w:p>
        </w:tc>
        <w:tc>
          <w:tcPr>
            <w:tcMar>
              <w:top w:w="70" w:type="dxa"/>
              <w:bottom w:w="70" w:type="dxa"/>
              <w:left w:w="100" w:type="dxa"/>
              <w:right w:w="100" w:type="dxa"/>
            </w:tcMar>
          </w:tcPr>
          <w:p>
            <w:pPr>
              <w:pStyle w:val="Compact"/>
              <w:spacing w:after="40"/>
              <w:jc w:val="left"/>
            </w:pPr>
            <w:r>
              <w:rPr>
                <w:sz w:val="19"/>
              </w:rPr>
              <w:t xml:space="preserve">Versión en inglés y en revista del argumento anterior.</w:t>
            </w:r>
          </w:p>
        </w:tc>
      </w:tr>
      <w:tr>
        <w:tc>
          <w:tcPr>
            <w:tcMar>
              <w:top w:w="70" w:type="dxa"/>
              <w:bottom w:w="70" w:type="dxa"/>
              <w:left w:w="100" w:type="dxa"/>
              <w:right w:w="100" w:type="dxa"/>
            </w:tcMar>
          </w:tcPr>
          <w:p>
            <w:pPr>
              <w:pStyle w:val="Compact"/>
              <w:spacing w:after="40"/>
              <w:jc w:val="left"/>
            </w:pPr>
            <w:r>
              <w:rPr>
                <w:sz w:val="19"/>
              </w:rPr>
              <w:t xml:space="preserve">Justel, M. (1990)</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Panorámica de la abstención electoral en España</w:t>
            </w:r>
            <w:r>
              <w:rPr>
                <w:sz w:val="19"/>
              </w:rPr>
              <w:t xml:space="preserve">”</w:t>
            </w:r>
            <w:r>
              <w:rPr>
                <w:sz w:val="19"/>
              </w:rPr>
              <w:t xml:space="preserve">,</w:t>
            </w:r>
            <w:r>
              <w:rPr>
                <w:sz w:val="19"/>
              </w:rPr>
              <w:t xml:space="preserve"> </w:t>
            </w:r>
            <w:r>
              <w:rPr>
                <w:iCs/>
                <w:i/>
                <w:sz w:val="19"/>
              </w:rPr>
              <w:t xml:space="preserve">Revista de Estudios Políticos</w:t>
            </w:r>
            <w:r>
              <w:rPr>
                <w:sz w:val="19"/>
              </w:rPr>
              <w:t xml:space="preserve">, nº 68, 343–396 (</w:t>
            </w:r>
            <w:hyperlink r:id="rId43">
              <w:r>
                <w:rPr>
                  <w:rStyle w:val="Hyperlink"/>
                </w:rPr>
                <w:t xml:space="preserve">CEPC</w:t>
              </w:r>
            </w:hyperlink>
            <w:r>
              <w:rPr>
                <w:sz w:val="19"/>
              </w:rPr>
              <w:t xml:space="preserve">)</w:t>
            </w:r>
          </w:p>
        </w:tc>
        <w:tc>
          <w:tcPr>
            <w:tcMar>
              <w:top w:w="70" w:type="dxa"/>
              <w:bottom w:w="70" w:type="dxa"/>
              <w:left w:w="100" w:type="dxa"/>
              <w:right w:w="100" w:type="dxa"/>
            </w:tcMar>
          </w:tcPr>
          <w:p>
            <w:pPr>
              <w:pStyle w:val="Compact"/>
              <w:spacing w:after="40"/>
              <w:jc w:val="left"/>
            </w:pPr>
            <w:r>
              <w:rPr>
                <w:sz w:val="19"/>
              </w:rPr>
              <w:t xml:space="preserve">⚠ El artículo es de</w:t>
            </w:r>
            <w:r>
              <w:rPr>
                <w:sz w:val="19"/>
              </w:rPr>
              <w:t xml:space="preserve"> </w:t>
            </w:r>
            <w:r>
              <w:rPr>
                <w:bCs/>
                <w:b/>
                <w:sz w:val="19"/>
              </w:rPr>
              <w:t xml:space="preserve">1990</w:t>
            </w:r>
            <w:r>
              <w:rPr>
                <w:sz w:val="19"/>
              </w:rPr>
              <w:t xml:space="preserve">, no de 1995.</w:t>
            </w:r>
          </w:p>
        </w:tc>
      </w:tr>
      <w:tr>
        <w:tc>
          <w:tcPr>
            <w:tcMar>
              <w:top w:w="70" w:type="dxa"/>
              <w:bottom w:w="70" w:type="dxa"/>
              <w:left w:w="100" w:type="dxa"/>
              <w:right w:w="100" w:type="dxa"/>
            </w:tcMar>
          </w:tcPr>
          <w:p>
            <w:pPr>
              <w:pStyle w:val="Compact"/>
              <w:spacing w:after="40"/>
              <w:jc w:val="left"/>
            </w:pPr>
            <w:r>
              <w:rPr>
                <w:sz w:val="19"/>
              </w:rPr>
              <w:t xml:space="preserve">Justel, M. (1995)</w:t>
            </w:r>
          </w:p>
        </w:tc>
        <w:tc>
          <w:tcPr>
            <w:tcMar>
              <w:top w:w="70" w:type="dxa"/>
              <w:bottom w:w="70" w:type="dxa"/>
              <w:left w:w="100" w:type="dxa"/>
              <w:right w:w="100" w:type="dxa"/>
            </w:tcMar>
          </w:tcPr>
          <w:p>
            <w:pPr>
              <w:pStyle w:val="Compact"/>
              <w:spacing w:after="40"/>
              <w:jc w:val="left"/>
            </w:pPr>
            <w:r>
              <w:rPr>
                <w:iCs/>
                <w:i/>
                <w:sz w:val="19"/>
              </w:rPr>
              <w:t xml:space="preserve">La abstención electoral en España, 1977-1993</w:t>
            </w:r>
            <w:r>
              <w:rPr>
                <w:sz w:val="19"/>
              </w:rPr>
              <w:t xml:space="preserve">, Madrid, CIS, Monografías 143.</w:t>
            </w:r>
            <w:r>
              <w:rPr>
                <w:sz w:val="19"/>
              </w:rPr>
              <w:t xml:space="preserve"> </w:t>
            </w:r>
            <w:hyperlink r:id="rId44">
              <w:r>
                <w:rPr>
                  <w:rStyle w:val="Hyperlink"/>
                </w:rPr>
                <w:t xml:space="preserve">doi:10.5477/cis/mon.143.472</w:t>
              </w:r>
            </w:hyperlink>
          </w:p>
        </w:tc>
        <w:tc>
          <w:tcPr>
            <w:tcMar>
              <w:top w:w="70" w:type="dxa"/>
              <w:bottom w:w="70" w:type="dxa"/>
              <w:left w:w="100" w:type="dxa"/>
              <w:right w:w="100" w:type="dxa"/>
            </w:tcMar>
          </w:tcPr>
          <w:p>
            <w:pPr>
              <w:pStyle w:val="Compact"/>
              <w:spacing w:after="40"/>
              <w:jc w:val="left"/>
            </w:pPr>
            <w:r>
              <w:rPr>
                <w:sz w:val="19"/>
              </w:rPr>
              <w:t xml:space="preserve">Constata</w:t>
            </w:r>
            <w:r>
              <w:rPr>
                <w:sz w:val="19"/>
              </w:rPr>
              <w:t xml:space="preserve"> </w:t>
            </w:r>
            <w:r>
              <w:rPr>
                <w:sz w:val="19"/>
              </w:rPr>
              <w:t xml:space="preserve">“</w:t>
            </w:r>
            <w:r>
              <w:rPr>
                <w:sz w:val="19"/>
              </w:rPr>
              <w:t xml:space="preserve">la gran movilidad geográfica, sociológica y política de la abstención</w:t>
            </w:r>
            <w:r>
              <w:rPr>
                <w:sz w:val="19"/>
              </w:rPr>
              <w:t xml:space="preserve">”</w:t>
            </w:r>
            <w:r>
              <w:rPr>
                <w:sz w:val="19"/>
              </w:rPr>
              <w:t xml:space="preserve">, la incidencia de factores</w:t>
            </w:r>
            <w:r>
              <w:rPr>
                <w:sz w:val="19"/>
              </w:rPr>
              <w:t xml:space="preserve"> </w:t>
            </w:r>
            <w:r>
              <w:rPr>
                <w:sz w:val="19"/>
              </w:rPr>
              <w:t xml:space="preserve">“</w:t>
            </w:r>
            <w:r>
              <w:rPr>
                <w:sz w:val="19"/>
              </w:rPr>
              <w:t xml:space="preserve">principalmente políticos y coyunturales</w:t>
            </w:r>
            <w:r>
              <w:rPr>
                <w:sz w:val="19"/>
              </w:rPr>
              <w:t xml:space="preserve">”</w:t>
            </w:r>
            <w:r>
              <w:rPr>
                <w:sz w:val="19"/>
              </w:rPr>
              <w:t xml:space="preserve"> </w:t>
            </w:r>
            <w:r>
              <w:rPr>
                <w:sz w:val="19"/>
              </w:rPr>
              <w:t xml:space="preserve">y</w:t>
            </w:r>
            <w:r>
              <w:rPr>
                <w:sz w:val="19"/>
              </w:rPr>
              <w:t xml:space="preserve"> </w:t>
            </w:r>
            <w:r>
              <w:rPr>
                <w:sz w:val="19"/>
              </w:rPr>
              <w:t xml:space="preserve">“</w:t>
            </w:r>
            <w:r>
              <w:rPr>
                <w:sz w:val="19"/>
              </w:rPr>
              <w:t xml:space="preserve">el incremento de la abstención voluntaria</w:t>
            </w:r>
            <w:r>
              <w:rPr>
                <w:sz w:val="19"/>
              </w:rPr>
              <w:t xml:space="preserve">”</w:t>
            </w:r>
            <w:r>
              <w:rPr>
                <w:sz w:val="19"/>
              </w:rPr>
              <w:t xml:space="preserve">. Es la base de la distinción entre abstención estructural y coyuntural.</w:t>
            </w:r>
          </w:p>
        </w:tc>
      </w:tr>
      <w:tr>
        <w:tc>
          <w:tcPr>
            <w:tcMar>
              <w:top w:w="70" w:type="dxa"/>
              <w:bottom w:w="70" w:type="dxa"/>
              <w:left w:w="100" w:type="dxa"/>
              <w:right w:w="100" w:type="dxa"/>
            </w:tcMar>
          </w:tcPr>
          <w:p>
            <w:pPr>
              <w:pStyle w:val="Compact"/>
              <w:spacing w:after="40"/>
              <w:jc w:val="left"/>
            </w:pPr>
            <w:r>
              <w:rPr>
                <w:sz w:val="19"/>
              </w:rPr>
              <w:t xml:space="preserve">Anduiza, E., Cristancho, C. y Sabucedo, J. M. (2014)</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Mobilization through online social networks: the political protest of the indignados in Spain</w:t>
            </w:r>
            <w:r>
              <w:rPr>
                <w:sz w:val="19"/>
              </w:rPr>
              <w:t xml:space="preserve">”</w:t>
            </w:r>
            <w:r>
              <w:rPr>
                <w:sz w:val="19"/>
              </w:rPr>
              <w:t xml:space="preserve">,</w:t>
            </w:r>
            <w:r>
              <w:rPr>
                <w:sz w:val="19"/>
              </w:rPr>
              <w:t xml:space="preserve"> </w:t>
            </w:r>
            <w:r>
              <w:rPr>
                <w:iCs/>
                <w:i/>
                <w:sz w:val="19"/>
              </w:rPr>
              <w:t xml:space="preserve">Information, Communication &amp; Society</w:t>
            </w:r>
            <w:r>
              <w:rPr>
                <w:sz w:val="19"/>
              </w:rPr>
              <w:t xml:space="preserve">, 17(6), 750–764.</w:t>
            </w:r>
            <w:r>
              <w:rPr>
                <w:sz w:val="19"/>
              </w:rPr>
              <w:t xml:space="preserve"> </w:t>
            </w:r>
            <w:hyperlink r:id="rId45">
              <w:r>
                <w:rPr>
                  <w:rStyle w:val="Hyperlink"/>
                </w:rPr>
                <w:t xml:space="preserve">doi:10.1080/1369118X.2013.808360</w:t>
              </w:r>
            </w:hyperlink>
          </w:p>
        </w:tc>
        <w:tc>
          <w:tcPr>
            <w:tcMar>
              <w:top w:w="70" w:type="dxa"/>
              <w:bottom w:w="70" w:type="dxa"/>
              <w:left w:w="100" w:type="dxa"/>
              <w:right w:w="100" w:type="dxa"/>
            </w:tcMar>
          </w:tcPr>
          <w:p>
            <w:pPr>
              <w:pStyle w:val="Compact"/>
              <w:spacing w:after="40"/>
              <w:jc w:val="left"/>
            </w:pPr>
            <w:r>
              <w:rPr>
                <w:sz w:val="19"/>
              </w:rPr>
              <w:t xml:space="preserve">En el 15-M, los principales canales de movilización fueron los contactos personales y las redes sociales en línea, no las organizaciones formales.</w:t>
            </w:r>
          </w:p>
        </w:tc>
      </w:tr>
      <w:tr>
        <w:tc>
          <w:tcPr>
            <w:tcMar>
              <w:top w:w="70" w:type="dxa"/>
              <w:bottom w:w="70" w:type="dxa"/>
              <w:left w:w="100" w:type="dxa"/>
              <w:right w:w="100" w:type="dxa"/>
            </w:tcMar>
          </w:tcPr>
          <w:p>
            <w:pPr>
              <w:pStyle w:val="Compact"/>
              <w:spacing w:after="40"/>
              <w:jc w:val="left"/>
            </w:pPr>
            <w:r>
              <w:rPr>
                <w:sz w:val="19"/>
              </w:rPr>
              <w:t xml:space="preserve">Torcal, M. (2014)</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The Decline of Political Trust in Spain and Portugal: Economic Performance or Political Responsiveness?</w:t>
            </w:r>
            <w:r>
              <w:rPr>
                <w:sz w:val="19"/>
              </w:rPr>
              <w:t xml:space="preserve">”</w:t>
            </w:r>
            <w:r>
              <w:rPr>
                <w:sz w:val="19"/>
              </w:rPr>
              <w:t xml:space="preserve">,</w:t>
            </w:r>
            <w:r>
              <w:rPr>
                <w:sz w:val="19"/>
              </w:rPr>
              <w:t xml:space="preserve"> </w:t>
            </w:r>
            <w:r>
              <w:rPr>
                <w:iCs/>
                <w:i/>
                <w:sz w:val="19"/>
              </w:rPr>
              <w:t xml:space="preserve">American Behavioral Scientist</w:t>
            </w:r>
            <w:r>
              <w:rPr>
                <w:sz w:val="19"/>
              </w:rPr>
              <w:t xml:space="preserve">, 58(12), 1542–1567.</w:t>
            </w:r>
            <w:r>
              <w:rPr>
                <w:sz w:val="19"/>
              </w:rPr>
              <w:t xml:space="preserve"> </w:t>
            </w:r>
            <w:hyperlink r:id="rId46">
              <w:r>
                <w:rPr>
                  <w:rStyle w:val="Hyperlink"/>
                </w:rPr>
                <w:t xml:space="preserve">doi:10.1177/0002764214534662</w:t>
              </w:r>
            </w:hyperlink>
          </w:p>
        </w:tc>
        <w:tc>
          <w:tcPr>
            <w:tcMar>
              <w:top w:w="70" w:type="dxa"/>
              <w:bottom w:w="70" w:type="dxa"/>
              <w:left w:w="100" w:type="dxa"/>
              <w:right w:w="100" w:type="dxa"/>
            </w:tcMar>
          </w:tcPr>
          <w:p>
            <w:pPr>
              <w:pStyle w:val="Compact"/>
              <w:spacing w:after="40"/>
              <w:jc w:val="left"/>
            </w:pPr>
            <w:r>
              <w:rPr>
                <w:sz w:val="19"/>
              </w:rPr>
              <w:t xml:space="preserve">Con un panel de 2011-2012, la caída de la confianza se debe</w:t>
            </w:r>
            <w:r>
              <w:rPr>
                <w:sz w:val="19"/>
              </w:rPr>
              <w:t xml:space="preserve"> </w:t>
            </w:r>
            <w:r>
              <w:rPr>
                <w:sz w:val="19"/>
              </w:rPr>
              <w:t xml:space="preserve">“</w:t>
            </w:r>
            <w:r>
              <w:rPr>
                <w:sz w:val="19"/>
              </w:rPr>
              <w:t xml:space="preserve">principalmente a la percepción negativa de la capacidad de respuesta</w:t>
            </w:r>
            <w:r>
              <w:rPr>
                <w:sz w:val="19"/>
              </w:rPr>
              <w:t xml:space="preserve">”</w:t>
            </w:r>
            <w:r>
              <w:rPr>
                <w:sz w:val="19"/>
              </w:rPr>
              <w:t xml:space="preserve"> </w:t>
            </w:r>
            <w:r>
              <w:rPr>
                <w:sz w:val="19"/>
              </w:rPr>
              <w:t xml:space="preserve">de las instituciones, agravada por la percepción de corrupción. Enlaza directamente con tu tesis.</w:t>
            </w:r>
          </w:p>
        </w:tc>
      </w:tr>
      <w:tr>
        <w:tc>
          <w:tcPr>
            <w:tcMar>
              <w:top w:w="70" w:type="dxa"/>
              <w:bottom w:w="70" w:type="dxa"/>
              <w:left w:w="100" w:type="dxa"/>
              <w:right w:w="100" w:type="dxa"/>
            </w:tcMar>
          </w:tcPr>
          <w:p>
            <w:pPr>
              <w:pStyle w:val="Compact"/>
              <w:spacing w:after="40"/>
              <w:jc w:val="left"/>
            </w:pPr>
            <w:r>
              <w:rPr>
                <w:sz w:val="19"/>
              </w:rPr>
              <w:t xml:space="preserve">Norris, P. (ed.) (1999)</w:t>
            </w:r>
          </w:p>
        </w:tc>
        <w:tc>
          <w:tcPr>
            <w:tcMar>
              <w:top w:w="70" w:type="dxa"/>
              <w:bottom w:w="70" w:type="dxa"/>
              <w:left w:w="100" w:type="dxa"/>
              <w:right w:w="100" w:type="dxa"/>
            </w:tcMar>
          </w:tcPr>
          <w:p>
            <w:pPr>
              <w:pStyle w:val="Compact"/>
              <w:spacing w:after="40"/>
              <w:jc w:val="left"/>
            </w:pPr>
            <w:r>
              <w:rPr>
                <w:iCs/>
                <w:i/>
                <w:sz w:val="19"/>
              </w:rPr>
              <w:t xml:space="preserve">Critical Citizens: Global Support for Democratic Government</w:t>
            </w:r>
            <w:r>
              <w:rPr>
                <w:sz w:val="19"/>
              </w:rPr>
              <w:t xml:space="preserve">, Oxford University Press (25-3-1999; ISBN 9780198295686;</w:t>
            </w:r>
            <w:r>
              <w:rPr>
                <w:sz w:val="19"/>
              </w:rPr>
              <w:t xml:space="preserve"> </w:t>
            </w:r>
            <w:hyperlink r:id="rId47">
              <w:r>
                <w:rPr>
                  <w:rStyle w:val="Hyperlink"/>
                </w:rPr>
                <w:t xml:space="preserve">doi:10.1093/0198295685.001.0001</w:t>
              </w:r>
            </w:hyperlink>
            <w:r>
              <w:rPr>
                <w:sz w:val="19"/>
              </w:rPr>
              <w:t xml:space="preserve">)</w:t>
            </w:r>
          </w:p>
        </w:tc>
        <w:tc>
          <w:tcPr>
            <w:tcMar>
              <w:top w:w="70" w:type="dxa"/>
              <w:bottom w:w="70" w:type="dxa"/>
              <w:left w:w="100" w:type="dxa"/>
              <w:right w:w="100" w:type="dxa"/>
            </w:tcMar>
          </w:tcPr>
          <w:p>
            <w:pPr>
              <w:pStyle w:val="Compact"/>
              <w:spacing w:after="40"/>
              <w:jc w:val="left"/>
            </w:pPr>
            <w:r>
              <w:rPr>
                <w:sz w:val="19"/>
              </w:rPr>
              <w:t xml:space="preserve">Según la sinopsis de la editorial, la mayoría de los ciudadanos</w:t>
            </w:r>
            <w:r>
              <w:rPr>
                <w:sz w:val="19"/>
              </w:rPr>
              <w:t xml:space="preserve"> </w:t>
            </w:r>
            <w:r>
              <w:rPr>
                <w:sz w:val="19"/>
              </w:rPr>
              <w:t xml:space="preserve">“</w:t>
            </w:r>
            <w:r>
              <w:rPr>
                <w:sz w:val="19"/>
              </w:rPr>
              <w:t xml:space="preserve">shared widespread aspirations to the ideals and principles of democratic government</w:t>
            </w:r>
            <w:r>
              <w:rPr>
                <w:sz w:val="19"/>
              </w:rPr>
              <w:t xml:space="preserve">”</w:t>
            </w:r>
            <w:r>
              <w:rPr>
                <w:sz w:val="19"/>
              </w:rPr>
              <w:t xml:space="preserve">, aunque persiste</w:t>
            </w:r>
            <w:r>
              <w:rPr>
                <w:sz w:val="19"/>
              </w:rPr>
              <w:t xml:space="preserve"> </w:t>
            </w:r>
            <w:r>
              <w:rPr>
                <w:sz w:val="19"/>
              </w:rPr>
              <w:t xml:space="preserve">“</w:t>
            </w:r>
            <w:r>
              <w:rPr>
                <w:sz w:val="19"/>
              </w:rPr>
              <w:t xml:space="preserve">a marked gap between evaluations of the ideal and the practice of democracy</w:t>
            </w:r>
            <w:r>
              <w:rPr>
                <w:sz w:val="19"/>
              </w:rPr>
              <w:t xml:space="preserve">”</w:t>
            </w:r>
            <w:r>
              <w:rPr>
                <w:sz w:val="19"/>
              </w:rPr>
              <w:t xml:space="preserve">.</w:t>
            </w:r>
          </w:p>
        </w:tc>
      </w:tr>
      <w:tr>
        <w:tc>
          <w:tcPr>
            <w:tcMar>
              <w:top w:w="70" w:type="dxa"/>
              <w:bottom w:w="70" w:type="dxa"/>
              <w:left w:w="100" w:type="dxa"/>
              <w:right w:w="100" w:type="dxa"/>
            </w:tcMar>
          </w:tcPr>
          <w:p>
            <w:pPr>
              <w:pStyle w:val="Compact"/>
              <w:spacing w:after="40"/>
              <w:jc w:val="left"/>
            </w:pPr>
            <w:r>
              <w:rPr>
                <w:sz w:val="19"/>
              </w:rPr>
              <w:t xml:space="preserve">Dalton, R. J. (2008)</w:t>
            </w:r>
          </w:p>
        </w:tc>
        <w:tc>
          <w:tcPr>
            <w:tcMar>
              <w:top w:w="70" w:type="dxa"/>
              <w:bottom w:w="70" w:type="dxa"/>
              <w:left w:w="100" w:type="dxa"/>
              <w:right w:w="100" w:type="dxa"/>
            </w:tcMar>
          </w:tcPr>
          <w:p>
            <w:pPr>
              <w:pStyle w:val="Compact"/>
              <w:spacing w:after="40"/>
              <w:jc w:val="left"/>
            </w:pPr>
            <w:r>
              <w:rPr>
                <w:iCs/>
                <w:i/>
                <w:sz w:val="19"/>
              </w:rPr>
              <w:t xml:space="preserve">The Good Citizen: How a Younger Generation Is Reshaping American Politics</w:t>
            </w:r>
            <w:r>
              <w:rPr>
                <w:sz w:val="19"/>
              </w:rPr>
              <w:t xml:space="preserve">, CQ Press (edición revisada del 19-12-2008; ISBN 978-0872895386; primera edición de 2007)</w:t>
            </w:r>
          </w:p>
        </w:tc>
        <w:tc>
          <w:tcPr>
            <w:tcMar>
              <w:top w:w="70" w:type="dxa"/>
              <w:bottom w:w="70" w:type="dxa"/>
              <w:left w:w="100" w:type="dxa"/>
              <w:right w:w="100" w:type="dxa"/>
            </w:tcMar>
          </w:tcPr>
          <w:p>
            <w:pPr>
              <w:pStyle w:val="Compact"/>
              <w:spacing w:after="40"/>
              <w:jc w:val="left"/>
            </w:pPr>
            <w:r>
              <w:rPr>
                <w:sz w:val="19"/>
              </w:rPr>
              <w:t xml:space="preserve">Según la editorial, una generación joven crea</w:t>
            </w:r>
            <w:r>
              <w:rPr>
                <w:sz w:val="19"/>
              </w:rPr>
              <w:t xml:space="preserve"> </w:t>
            </w:r>
            <w:r>
              <w:rPr>
                <w:sz w:val="19"/>
              </w:rPr>
              <w:t xml:space="preserve">“</w:t>
            </w:r>
            <w:r>
              <w:rPr>
                <w:sz w:val="19"/>
              </w:rPr>
              <w:t xml:space="preserve">new norms of citizenship that are leading to a renaissance of democratic participation</w:t>
            </w:r>
            <w:r>
              <w:rPr>
                <w:sz w:val="19"/>
              </w:rPr>
              <w:t xml:space="preserve">”</w:t>
            </w:r>
            <w:r>
              <w:rPr>
                <w:sz w:val="19"/>
              </w:rPr>
              <w:t xml:space="preserve">: pasa de una ciudadanía</w:t>
            </w:r>
            <w:r>
              <w:rPr>
                <w:sz w:val="19"/>
              </w:rPr>
              <w:t xml:space="preserve"> </w:t>
            </w:r>
            <w:r>
              <w:rPr>
                <w:sz w:val="19"/>
              </w:rPr>
              <w:t xml:space="preserve">“</w:t>
            </w:r>
            <w:r>
              <w:rPr>
                <w:sz w:val="19"/>
              </w:rPr>
              <w:t xml:space="preserve">de deber</w:t>
            </w:r>
            <w:r>
              <w:rPr>
                <w:sz w:val="19"/>
              </w:rPr>
              <w:t xml:space="preserve">”</w:t>
            </w:r>
            <w:r>
              <w:rPr>
                <w:sz w:val="19"/>
              </w:rPr>
              <w:t xml:space="preserve"> </w:t>
            </w:r>
            <w:r>
              <w:rPr>
                <w:sz w:val="19"/>
              </w:rPr>
              <w:t xml:space="preserve">(votar) a una ciudadanía</w:t>
            </w:r>
            <w:r>
              <w:rPr>
                <w:sz w:val="19"/>
              </w:rPr>
              <w:t xml:space="preserve"> </w:t>
            </w:r>
            <w:r>
              <w:rPr>
                <w:sz w:val="19"/>
              </w:rPr>
              <w:t xml:space="preserve">“</w:t>
            </w:r>
            <w:r>
              <w:rPr>
                <w:sz w:val="19"/>
              </w:rPr>
              <w:t xml:space="preserve">comprometida</w:t>
            </w:r>
            <w:r>
              <w:rPr>
                <w:sz w:val="19"/>
              </w:rPr>
              <w:t xml:space="preserve">”</w:t>
            </w:r>
            <w:r>
              <w:rPr>
                <w:sz w:val="19"/>
              </w:rPr>
              <w:t xml:space="preserve"> </w:t>
            </w:r>
            <w:r>
              <w:rPr>
                <w:sz w:val="19"/>
              </w:rPr>
              <w:t xml:space="preserve">(acción directa).</w:t>
            </w:r>
          </w:p>
        </w:tc>
      </w:tr>
      <w:tr>
        <w:tc>
          <w:tcPr>
            <w:tcMar>
              <w:top w:w="70" w:type="dxa"/>
              <w:bottom w:w="70" w:type="dxa"/>
              <w:left w:w="100" w:type="dxa"/>
              <w:right w:w="100" w:type="dxa"/>
            </w:tcMar>
          </w:tcPr>
          <w:p>
            <w:pPr>
              <w:pStyle w:val="Compact"/>
              <w:spacing w:after="40"/>
              <w:jc w:val="left"/>
            </w:pPr>
            <w:r>
              <w:rPr>
                <w:sz w:val="19"/>
              </w:rPr>
              <w:t xml:space="preserve">Schudson, M. (1998)</w:t>
            </w:r>
          </w:p>
        </w:tc>
        <w:tc>
          <w:tcPr>
            <w:tcMar>
              <w:top w:w="70" w:type="dxa"/>
              <w:bottom w:w="70" w:type="dxa"/>
              <w:left w:w="100" w:type="dxa"/>
              <w:right w:w="100" w:type="dxa"/>
            </w:tcMar>
          </w:tcPr>
          <w:p>
            <w:pPr>
              <w:pStyle w:val="Compact"/>
              <w:spacing w:after="40"/>
              <w:jc w:val="left"/>
            </w:pPr>
            <w:r>
              <w:rPr>
                <w:iCs/>
                <w:i/>
                <w:sz w:val="19"/>
              </w:rPr>
              <w:t xml:space="preserve">The Good Citizen: A History of American Civic Life</w:t>
            </w:r>
            <w:r>
              <w:rPr>
                <w:sz w:val="19"/>
              </w:rPr>
              <w:t xml:space="preserve">, Free Press</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Ciudadano monitorial</w:t>
            </w:r>
            <w:r>
              <w:rPr>
                <w:sz w:val="19"/>
              </w:rPr>
              <w:t xml:space="preserve">”</w:t>
            </w:r>
            <w:r>
              <w:rPr>
                <w:sz w:val="19"/>
              </w:rPr>
              <w:t xml:space="preserve">: vigila y actúa cuando lo cree necesario. ⚠ No verificado aquí.</w:t>
            </w:r>
          </w:p>
        </w:tc>
      </w:tr>
      <w:tr>
        <w:tc>
          <w:tcPr>
            <w:tcMar>
              <w:top w:w="70" w:type="dxa"/>
              <w:bottom w:w="70" w:type="dxa"/>
              <w:left w:w="100" w:type="dxa"/>
              <w:right w:w="100" w:type="dxa"/>
            </w:tcMar>
          </w:tcPr>
          <w:p>
            <w:pPr>
              <w:pStyle w:val="Compact"/>
              <w:spacing w:after="40"/>
              <w:jc w:val="left"/>
            </w:pPr>
            <w:r>
              <w:rPr>
                <w:sz w:val="19"/>
              </w:rPr>
              <w:t xml:space="preserve">Rosanvallon, P. (2007)</w:t>
            </w:r>
          </w:p>
        </w:tc>
        <w:tc>
          <w:tcPr>
            <w:tcMar>
              <w:top w:w="70" w:type="dxa"/>
              <w:bottom w:w="70" w:type="dxa"/>
              <w:left w:w="100" w:type="dxa"/>
              <w:right w:w="100" w:type="dxa"/>
            </w:tcMar>
          </w:tcPr>
          <w:p>
            <w:pPr>
              <w:pStyle w:val="Compact"/>
              <w:spacing w:after="40"/>
              <w:jc w:val="left"/>
            </w:pPr>
            <w:r>
              <w:rPr>
                <w:iCs/>
                <w:i/>
                <w:sz w:val="19"/>
              </w:rPr>
              <w:t xml:space="preserve">La contrademocracia: la política en la era de la desconfianza</w:t>
            </w:r>
            <w:r>
              <w:rPr>
                <w:sz w:val="19"/>
              </w:rPr>
              <w:t xml:space="preserve">, Buenos Aires, Manantial (original francés de 2006)</w:t>
            </w:r>
          </w:p>
        </w:tc>
        <w:tc>
          <w:tcPr>
            <w:tcMar>
              <w:top w:w="70" w:type="dxa"/>
              <w:bottom w:w="70" w:type="dxa"/>
              <w:left w:w="100" w:type="dxa"/>
              <w:right w:w="100" w:type="dxa"/>
            </w:tcMar>
          </w:tcPr>
          <w:p>
            <w:pPr>
              <w:pStyle w:val="Compact"/>
              <w:spacing w:after="40"/>
              <w:jc w:val="left"/>
            </w:pPr>
            <w:r>
              <w:rPr>
                <w:sz w:val="19"/>
              </w:rPr>
              <w:t xml:space="preserve">La desconfianza organizada (vigilar, impedir, juzgar) como forma de actividad democrática. ⚠ No verificado aquí.</w:t>
            </w:r>
          </w:p>
        </w:tc>
      </w:tr>
    </w:tbl>
    <w:p>
      <w:pPr>
        <w:pStyle w:val="BodyText"/>
      </w:pPr>
      <w:r>
        <w:t xml:space="preserve">No he podido verificar trabajos concretos de Fraile o Galais sobre el vínculo entre abstención y participación no electoral; no los cites sin comprobarlos.</w:t>
      </w:r>
    </w:p>
    <w:p>
      <w:pPr>
        <w:pStyle w:val="BodyText"/>
      </w:pPr>
      <w:r>
        <w:rPr>
          <w:bCs/>
          <w:b/>
        </w:rPr>
        <w:t xml:space="preserve">Lectura de la literatura:</w:t>
      </w:r>
      <w:r>
        <w:t xml:space="preserve"> </w:t>
      </w:r>
      <w:r>
        <w:t xml:space="preserve">distinguir entre abstención estructural (recursos, integración) y coyuntural o voluntaria (Justel) permite sostener que una parte de la abstención es una decisión política. Hooghe y Marien aportan el mecanismo: la desconfianza reduce el voto pero no la participación no institucional. Un matiz importante: Marien et al. muestran que esas formas alternativas están sesgadas hacia las personas con más estudios. La</w:t>
      </w:r>
      <w:r>
        <w:t xml:space="preserve"> </w:t>
      </w:r>
      <w:r>
        <w:t xml:space="preserve">“</w:t>
      </w:r>
      <w:r>
        <w:t xml:space="preserve">abstención crítica</w:t>
      </w:r>
      <w:r>
        <w:t xml:space="preserve">”</w:t>
      </w:r>
      <w:r>
        <w:t xml:space="preserve"> </w:t>
      </w:r>
      <w:r>
        <w:t xml:space="preserve">convive, por tanto, con una abstención por exclusión social, y conviene decirlo para no idealizarla.</w:t>
      </w:r>
    </w:p>
    <w:bookmarkEnd w:id="48"/>
    <w:bookmarkStart w:id="53" w:name="Xafe954dccc10e5cae08f798049a3237a60c6fea"/>
    <w:p>
      <w:pPr>
        <w:pStyle w:val="Heading1"/>
      </w:pPr>
      <w:r>
        <w:t xml:space="preserve">3. Variables ESS para calcularlo con tus microdatos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tcMar>
              <w:top w:w="70" w:type="dxa"/>
              <w:bottom w:w="70" w:type="dxa"/>
              <w:left w:w="100" w:type="dxa"/>
              <w:right w:w="100" w:type="dxa"/>
            </w:tcMar>
            <w:shd w:val="clear" w:color="auto" w:fill="D9E2F3"/>
          </w:tcPr>
          <w:p>
            <w:pPr>
              <w:pStyle w:val="Compact"/>
              <w:spacing w:after="40"/>
              <w:jc w:val="left"/>
            </w:pPr>
            <w:r>
              <w:rPr>
                <w:b/>
                <w:sz w:val="19"/>
              </w:rPr>
              <w:t xml:space="preserve">Variable</w:t>
            </w:r>
          </w:p>
        </w:tc>
        <w:tc>
          <w:tcPr>
            <w:tcMar>
              <w:top w:w="70" w:type="dxa"/>
              <w:bottom w:w="70" w:type="dxa"/>
              <w:left w:w="100" w:type="dxa"/>
              <w:right w:w="100" w:type="dxa"/>
            </w:tcMar>
            <w:shd w:val="clear" w:color="auto" w:fill="D9E2F3"/>
          </w:tcPr>
          <w:p>
            <w:pPr>
              <w:pStyle w:val="Compact"/>
              <w:spacing w:after="40"/>
              <w:jc w:val="left"/>
            </w:pPr>
            <w:r>
              <w:rPr>
                <w:b/>
                <w:sz w:val="19"/>
              </w:rPr>
              <w:t xml:space="preserve">Redacción (cuestionario fuente)</w:t>
            </w:r>
          </w:p>
        </w:tc>
        <w:tc>
          <w:tcPr>
            <w:tcMar>
              <w:top w:w="70" w:type="dxa"/>
              <w:bottom w:w="70" w:type="dxa"/>
              <w:left w:w="100" w:type="dxa"/>
              <w:right w:w="100" w:type="dxa"/>
            </w:tcMar>
            <w:shd w:val="clear" w:color="auto" w:fill="D9E2F3"/>
          </w:tcPr>
          <w:p>
            <w:pPr>
              <w:pStyle w:val="Compact"/>
              <w:spacing w:after="40"/>
              <w:jc w:val="left"/>
            </w:pPr>
            <w:r>
              <w:rPr>
                <w:b/>
                <w:sz w:val="19"/>
              </w:rPr>
              <w:t xml:space="preserve">Rondas</w:t>
            </w:r>
          </w:p>
        </w:tc>
      </w:tr>
      <w:tr>
        <w:tc>
          <w:tcPr>
            <w:tcMar>
              <w:top w:w="70" w:type="dxa"/>
              <w:bottom w:w="70" w:type="dxa"/>
              <w:left w:w="100" w:type="dxa"/>
              <w:right w:w="100" w:type="dxa"/>
            </w:tcMar>
          </w:tcPr>
          <w:p>
            <w:pPr>
              <w:pStyle w:val="Compact"/>
              <w:spacing w:after="40"/>
              <w:jc w:val="left"/>
            </w:pPr>
            <w:r>
              <w:rPr>
                <w:rStyle w:val="VerbatimChar"/>
                <w:sz w:val="19"/>
              </w:rPr>
              <w:t xml:space="preserve">vote</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Some people don’t vote nowadays for one reason or another. Did you vote in the last [country] national election in [month/year]?</w:t>
            </w:r>
            <w:r>
              <w:rPr>
                <w:sz w:val="19"/>
              </w:rPr>
              <w:t xml:space="preserve">”</w:t>
            </w:r>
            <w:r>
              <w:rPr>
                <w:sz w:val="19"/>
              </w:rPr>
              <w:t xml:space="preserve"> </w:t>
            </w:r>
            <w:r>
              <w:rPr>
                <w:sz w:val="19"/>
              </w:rPr>
              <w:t xml:space="preserve">(1 = Sí, 2 = No, 3 = No tenía derecho a voto)</w:t>
            </w:r>
          </w:p>
        </w:tc>
        <w:tc>
          <w:tcPr>
            <w:tcMar>
              <w:top w:w="70" w:type="dxa"/>
              <w:bottom w:w="70" w:type="dxa"/>
              <w:left w:w="100" w:type="dxa"/>
              <w:right w:w="100" w:type="dxa"/>
            </w:tcMar>
          </w:tcPr>
          <w:p>
            <w:pPr>
              <w:pStyle w:val="Compact"/>
              <w:spacing w:after="40"/>
              <w:jc w:val="left"/>
            </w:pPr>
            <w:r>
              <w:rPr>
                <w:sz w:val="19"/>
              </w:rPr>
              <w:t xml:space="preserve">1–11</w:t>
            </w:r>
          </w:p>
        </w:tc>
      </w:tr>
      <w:tr>
        <w:tc>
          <w:tcPr>
            <w:tcMar>
              <w:top w:w="70" w:type="dxa"/>
              <w:bottom w:w="70" w:type="dxa"/>
              <w:left w:w="100" w:type="dxa"/>
              <w:right w:w="100" w:type="dxa"/>
            </w:tcMar>
          </w:tcPr>
          <w:p>
            <w:pPr>
              <w:pStyle w:val="Compact"/>
              <w:spacing w:after="40"/>
              <w:jc w:val="left"/>
            </w:pPr>
            <w:r>
              <w:rPr>
                <w:rStyle w:val="VerbatimChar"/>
                <w:sz w:val="19"/>
              </w:rPr>
              <w:t xml:space="preserve">polintr</w:t>
            </w:r>
          </w:p>
        </w:tc>
        <w:tc>
          <w:tcPr>
            <w:tcMar>
              <w:top w:w="70" w:type="dxa"/>
              <w:bottom w:w="70" w:type="dxa"/>
              <w:left w:w="100" w:type="dxa"/>
              <w:right w:w="100" w:type="dxa"/>
            </w:tcMar>
          </w:tcPr>
          <w:p>
            <w:pPr>
              <w:pStyle w:val="Compact"/>
              <w:spacing w:after="40"/>
              <w:jc w:val="left"/>
            </w:pPr>
            <w:r>
              <w:rPr>
                <w:sz w:val="19"/>
              </w:rPr>
              <w:t xml:space="preserve">Interés por la política (muy, bastante, poco, nada interesado)</w:t>
            </w:r>
          </w:p>
        </w:tc>
        <w:tc>
          <w:tcPr>
            <w:tcMar>
              <w:top w:w="70" w:type="dxa"/>
              <w:bottom w:w="70" w:type="dxa"/>
              <w:left w:w="100" w:type="dxa"/>
              <w:right w:w="100" w:type="dxa"/>
            </w:tcMar>
          </w:tcPr>
          <w:p>
            <w:pPr>
              <w:pStyle w:val="Compact"/>
              <w:spacing w:after="40"/>
              <w:jc w:val="left"/>
            </w:pPr>
            <w:r>
              <w:rPr>
                <w:sz w:val="19"/>
              </w:rPr>
              <w:t xml:space="preserve">1–11</w:t>
            </w:r>
          </w:p>
        </w:tc>
      </w:tr>
      <w:tr>
        <w:tc>
          <w:tcPr>
            <w:tcMar>
              <w:top w:w="70" w:type="dxa"/>
              <w:bottom w:w="70" w:type="dxa"/>
              <w:left w:w="100" w:type="dxa"/>
              <w:right w:w="100" w:type="dxa"/>
            </w:tcMar>
          </w:tcPr>
          <w:p>
            <w:pPr>
              <w:pStyle w:val="Compact"/>
              <w:spacing w:after="40"/>
              <w:jc w:val="left"/>
            </w:pPr>
            <w:r>
              <w:rPr>
                <w:sz w:val="19"/>
              </w:rPr>
              <w:t xml:space="preserve">Batería de participación</w:t>
            </w:r>
          </w:p>
        </w:tc>
        <w:tc>
          <w:tcPr>
            <w:tcMar>
              <w:top w:w="70" w:type="dxa"/>
              <w:bottom w:w="70" w:type="dxa"/>
              <w:left w:w="100" w:type="dxa"/>
              <w:right w:w="100" w:type="dxa"/>
            </w:tcMar>
          </w:tcPr>
          <w:p>
            <w:pPr>
              <w:pStyle w:val="Compact"/>
              <w:spacing w:after="40"/>
              <w:jc w:val="left"/>
            </w:pPr>
            <w:r>
              <w:rPr>
                <w:sz w:val="19"/>
              </w:rPr>
              <w:t xml:space="preserve">“</w:t>
            </w:r>
            <w:r>
              <w:rPr>
                <w:sz w:val="19"/>
              </w:rPr>
              <w:t xml:space="preserve">There are different ways of trying to improve things in [country] or help prevent things from going wrong. During the last 12 months, have you done any of the following?</w:t>
            </w:r>
            <w:r>
              <w:rPr>
                <w:sz w:val="19"/>
              </w:rPr>
              <w:t xml:space="preserve">”</w:t>
            </w:r>
          </w:p>
        </w:tc>
        <w:tc>
          <w:tcPr>
            <w:tcMar>
              <w:top w:w="70" w:type="dxa"/>
              <w:bottom w:w="70" w:type="dxa"/>
              <w:left w:w="100" w:type="dxa"/>
              <w:right w:w="100" w:type="dxa"/>
            </w:tcMar>
          </w:tcPr>
          <w:p>
            <w:pPr>
              <w:pStyle w:val="Compact"/>
              <w:spacing w:after="40"/>
              <w:jc w:val="left"/>
            </w:pPr>
            <w:r>
              <w:rPr>
                <w:sz w:val="19"/>
              </w:rPr>
              <w:t xml:space="preserve">—</w:t>
            </w:r>
          </w:p>
        </w:tc>
      </w:tr>
      <w:tr>
        <w:tc>
          <w:tcPr>
            <w:tcMar>
              <w:top w:w="70" w:type="dxa"/>
              <w:bottom w:w="70" w:type="dxa"/>
              <w:left w:w="100" w:type="dxa"/>
              <w:right w:w="100" w:type="dxa"/>
            </w:tcMar>
          </w:tcPr>
          <w:p>
            <w:pPr>
              <w:pStyle w:val="Compact"/>
              <w:spacing w:after="40"/>
              <w:jc w:val="left"/>
            </w:pPr>
            <w:r>
              <w:rPr>
                <w:rStyle w:val="VerbatimChar"/>
                <w:sz w:val="19"/>
              </w:rPr>
              <w:t xml:space="preserve">contplt</w:t>
            </w:r>
          </w:p>
        </w:tc>
        <w:tc>
          <w:tcPr>
            <w:tcMar>
              <w:top w:w="70" w:type="dxa"/>
              <w:bottom w:w="70" w:type="dxa"/>
              <w:left w:w="100" w:type="dxa"/>
              <w:right w:w="100" w:type="dxa"/>
            </w:tcMar>
          </w:tcPr>
          <w:p>
            <w:pPr>
              <w:pStyle w:val="Compact"/>
              <w:spacing w:after="40"/>
              <w:jc w:val="left"/>
            </w:pPr>
            <w:r>
              <w:rPr>
                <w:sz w:val="19"/>
              </w:rPr>
              <w:t xml:space="preserve">…contacted a politician, government or local government official?</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wrkprty</w:t>
            </w:r>
          </w:p>
        </w:tc>
        <w:tc>
          <w:tcPr>
            <w:tcMar>
              <w:top w:w="70" w:type="dxa"/>
              <w:bottom w:w="70" w:type="dxa"/>
              <w:left w:w="100" w:type="dxa"/>
              <w:right w:w="100" w:type="dxa"/>
            </w:tcMar>
          </w:tcPr>
          <w:p>
            <w:pPr>
              <w:pStyle w:val="Compact"/>
              <w:spacing w:after="40"/>
              <w:jc w:val="left"/>
            </w:pPr>
            <w:r>
              <w:rPr>
                <w:sz w:val="19"/>
              </w:rPr>
              <w:t xml:space="preserve">…worked in a political party or action group?</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wrkorg</w:t>
            </w:r>
          </w:p>
        </w:tc>
        <w:tc>
          <w:tcPr>
            <w:tcMar>
              <w:top w:w="70" w:type="dxa"/>
              <w:bottom w:w="70" w:type="dxa"/>
              <w:left w:w="100" w:type="dxa"/>
              <w:right w:w="100" w:type="dxa"/>
            </w:tcMar>
          </w:tcPr>
          <w:p>
            <w:pPr>
              <w:pStyle w:val="Compact"/>
              <w:spacing w:after="40"/>
              <w:jc w:val="left"/>
            </w:pPr>
            <w:r>
              <w:rPr>
                <w:sz w:val="19"/>
              </w:rPr>
              <w:t xml:space="preserve">…worked in another organisation or association?</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badge</w:t>
            </w:r>
          </w:p>
        </w:tc>
        <w:tc>
          <w:tcPr>
            <w:tcMar>
              <w:top w:w="70" w:type="dxa"/>
              <w:bottom w:w="70" w:type="dxa"/>
              <w:left w:w="100" w:type="dxa"/>
              <w:right w:w="100" w:type="dxa"/>
            </w:tcMar>
          </w:tcPr>
          <w:p>
            <w:pPr>
              <w:pStyle w:val="Compact"/>
              <w:spacing w:after="40"/>
              <w:jc w:val="left"/>
            </w:pPr>
            <w:r>
              <w:rPr>
                <w:sz w:val="19"/>
              </w:rPr>
              <w:t xml:space="preserve">…worn or displayed a campaign badge/sticker?</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sgnptit</w:t>
            </w:r>
          </w:p>
        </w:tc>
        <w:tc>
          <w:tcPr>
            <w:tcMar>
              <w:top w:w="70" w:type="dxa"/>
              <w:bottom w:w="70" w:type="dxa"/>
              <w:left w:w="100" w:type="dxa"/>
              <w:right w:w="100" w:type="dxa"/>
            </w:tcMar>
          </w:tcPr>
          <w:p>
            <w:pPr>
              <w:pStyle w:val="Compact"/>
              <w:spacing w:after="40"/>
              <w:jc w:val="left"/>
            </w:pPr>
            <w:r>
              <w:rPr>
                <w:sz w:val="19"/>
              </w:rPr>
              <w:t xml:space="preserve">…signed a petition?</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pbldmn</w:t>
            </w:r>
          </w:p>
        </w:tc>
        <w:tc>
          <w:tcPr>
            <w:tcMar>
              <w:top w:w="70" w:type="dxa"/>
              <w:bottom w:w="70" w:type="dxa"/>
              <w:left w:w="100" w:type="dxa"/>
              <w:right w:w="100" w:type="dxa"/>
            </w:tcMar>
          </w:tcPr>
          <w:p>
            <w:pPr>
              <w:pStyle w:val="Compact"/>
              <w:spacing w:after="40"/>
              <w:jc w:val="left"/>
            </w:pPr>
            <w:r>
              <w:rPr>
                <w:sz w:val="19"/>
              </w:rPr>
              <w:t xml:space="preserve">…taken part in a lawful public demonstration?</w:t>
            </w:r>
          </w:p>
        </w:tc>
        <w:tc>
          <w:tcPr>
            <w:tcMar>
              <w:top w:w="70" w:type="dxa"/>
              <w:bottom w:w="70" w:type="dxa"/>
              <w:left w:w="100" w:type="dxa"/>
              <w:right w:w="100" w:type="dxa"/>
            </w:tcMar>
          </w:tcPr>
          <w:p>
            <w:pPr>
              <w:pStyle w:val="Compact"/>
              <w:spacing w:after="40"/>
              <w:jc w:val="left"/>
            </w:pPr>
            <w:r>
              <w:rPr>
                <w:sz w:val="19"/>
              </w:rPr>
              <w:t xml:space="preserve">todas (en R10 y R11, comprueba si aparece como</w:t>
            </w:r>
            <w:r>
              <w:rPr>
                <w:sz w:val="19"/>
              </w:rPr>
              <w:t xml:space="preserve"> </w:t>
            </w:r>
            <w:r>
              <w:rPr>
                <w:rStyle w:val="VerbatimChar"/>
                <w:sz w:val="19"/>
              </w:rPr>
              <w:t xml:space="preserve">pbldmna</w:t>
            </w:r>
            <w:r>
              <w:rPr>
                <w:sz w:val="19"/>
              </w:rPr>
              <w:t xml:space="preserve">)</w:t>
            </w:r>
          </w:p>
        </w:tc>
      </w:tr>
      <w:tr>
        <w:tc>
          <w:tcPr>
            <w:tcMar>
              <w:top w:w="70" w:type="dxa"/>
              <w:bottom w:w="70" w:type="dxa"/>
              <w:left w:w="100" w:type="dxa"/>
              <w:right w:w="100" w:type="dxa"/>
            </w:tcMar>
          </w:tcPr>
          <w:p>
            <w:pPr>
              <w:pStyle w:val="Compact"/>
              <w:spacing w:after="40"/>
              <w:jc w:val="left"/>
            </w:pPr>
            <w:r>
              <w:rPr>
                <w:rStyle w:val="VerbatimChar"/>
                <w:sz w:val="19"/>
              </w:rPr>
              <w:t xml:space="preserve">bctprd</w:t>
            </w:r>
          </w:p>
        </w:tc>
        <w:tc>
          <w:tcPr>
            <w:tcMar>
              <w:top w:w="70" w:type="dxa"/>
              <w:bottom w:w="70" w:type="dxa"/>
              <w:left w:w="100" w:type="dxa"/>
              <w:right w:w="100" w:type="dxa"/>
            </w:tcMar>
          </w:tcPr>
          <w:p>
            <w:pPr>
              <w:pStyle w:val="Compact"/>
              <w:spacing w:after="40"/>
              <w:jc w:val="left"/>
            </w:pPr>
            <w:r>
              <w:rPr>
                <w:sz w:val="19"/>
              </w:rPr>
              <w:t xml:space="preserve">…boycotted certain products?</w:t>
            </w:r>
          </w:p>
        </w:tc>
        <w:tc>
          <w:tcPr>
            <w:tcMar>
              <w:top w:w="70" w:type="dxa"/>
              <w:bottom w:w="70" w:type="dxa"/>
              <w:left w:w="100" w:type="dxa"/>
              <w:right w:w="100" w:type="dxa"/>
            </w:tcMar>
          </w:tcPr>
          <w:p>
            <w:pPr>
              <w:pStyle w:val="Compact"/>
              <w:spacing w:after="40"/>
              <w:jc w:val="left"/>
            </w:pPr>
            <w:r>
              <w:rPr>
                <w:sz w:val="19"/>
              </w:rPr>
              <w:t xml:space="preserve">todas</w:t>
            </w:r>
          </w:p>
        </w:tc>
      </w:tr>
      <w:tr>
        <w:tc>
          <w:tcPr>
            <w:tcMar>
              <w:top w:w="70" w:type="dxa"/>
              <w:bottom w:w="70" w:type="dxa"/>
              <w:left w:w="100" w:type="dxa"/>
              <w:right w:w="100" w:type="dxa"/>
            </w:tcMar>
          </w:tcPr>
          <w:p>
            <w:pPr>
              <w:pStyle w:val="Compact"/>
              <w:spacing w:after="40"/>
              <w:jc w:val="left"/>
            </w:pPr>
            <w:r>
              <w:rPr>
                <w:rStyle w:val="VerbatimChar"/>
                <w:sz w:val="19"/>
              </w:rPr>
              <w:t xml:space="preserve">pstplonl</w:t>
            </w:r>
          </w:p>
        </w:tc>
        <w:tc>
          <w:tcPr>
            <w:tcMar>
              <w:top w:w="70" w:type="dxa"/>
              <w:bottom w:w="70" w:type="dxa"/>
              <w:left w:w="100" w:type="dxa"/>
              <w:right w:w="100" w:type="dxa"/>
            </w:tcMar>
          </w:tcPr>
          <w:p>
            <w:pPr>
              <w:pStyle w:val="Compact"/>
              <w:spacing w:after="40"/>
              <w:jc w:val="left"/>
            </w:pPr>
            <w:r>
              <w:rPr>
                <w:sz w:val="19"/>
              </w:rPr>
              <w:t xml:space="preserve">Publicar o compartir contenidos sobre política en línea</w:t>
            </w:r>
          </w:p>
        </w:tc>
        <w:tc>
          <w:tcPr>
            <w:tcMar>
              <w:top w:w="70" w:type="dxa"/>
              <w:bottom w:w="70" w:type="dxa"/>
              <w:left w:w="100" w:type="dxa"/>
              <w:right w:w="100" w:type="dxa"/>
            </w:tcMar>
          </w:tcPr>
          <w:p>
            <w:pPr>
              <w:pStyle w:val="Compact"/>
              <w:spacing w:after="40"/>
              <w:jc w:val="left"/>
            </w:pPr>
            <w:r>
              <w:rPr>
                <w:sz w:val="19"/>
              </w:rPr>
              <w:t xml:space="preserve">solo las rondas recientes (R10–R11); verificar</w:t>
            </w:r>
          </w:p>
        </w:tc>
      </w:tr>
    </w:tbl>
    <w:p>
      <w:pPr>
        <w:pStyle w:val="BodyText"/>
      </w:pPr>
      <w:r>
        <w:t xml:space="preserve">Fuentes:</w:t>
      </w:r>
      <w:r>
        <w:t xml:space="preserve"> </w:t>
      </w:r>
      <w:hyperlink r:id="rId49">
        <w:r>
          <w:rPr>
            <w:rStyle w:val="Hyperlink"/>
          </w:rPr>
          <w:t xml:space="preserve">cuestionario fuente ESS R10</w:t>
        </w:r>
      </w:hyperlink>
      <w:r>
        <w:t xml:space="preserve">,</w:t>
      </w:r>
      <w:r>
        <w:t xml:space="preserve"> </w:t>
      </w:r>
      <w:hyperlink r:id="rId50">
        <w:r>
          <w:rPr>
            <w:rStyle w:val="Hyperlink"/>
          </w:rPr>
          <w:t xml:space="preserve">ESS R9</w:t>
        </w:r>
      </w:hyperlink>
      <w:r>
        <w:t xml:space="preserve"> </w:t>
      </w:r>
      <w:r>
        <w:t xml:space="preserve">y el</w:t>
      </w:r>
      <w:r>
        <w:t xml:space="preserve"> </w:t>
      </w:r>
      <w:hyperlink r:id="rId51">
        <w:r>
          <w:rPr>
            <w:rStyle w:val="Hyperlink"/>
          </w:rPr>
          <w:t xml:space="preserve">informe de uso de ítems 2003-2022</w:t>
        </w:r>
      </w:hyperlink>
      <w:r>
        <w:t xml:space="preserve">, que confirma que badge, sgnptit, pbldmn y bctprd están en</w:t>
      </w:r>
      <w:r>
        <w:t xml:space="preserve"> </w:t>
      </w:r>
      <w:r>
        <w:t xml:space="preserve">“</w:t>
      </w:r>
      <w:r>
        <w:t xml:space="preserve">All rounds</w:t>
      </w:r>
      <w:r>
        <w:t xml:space="preserve">”</w:t>
      </w:r>
      <w:r>
        <w:t xml:space="preserve">.</w:t>
      </w:r>
    </w:p>
    <w:p>
      <w:pPr>
        <w:pStyle w:val="BodyText"/>
      </w:pPr>
      <w:r>
        <w:rPr>
          <w:bCs/>
          <w:b/>
        </w:rPr>
        <w:t xml:space="preserve">Cálculo propuesto:</w:t>
      </w:r>
      <w:r>
        <w:t xml:space="preserve"> </w:t>
      </w:r>
      <w:r>
        <w:t xml:space="preserve">excluye a quienes tienen</w:t>
      </w:r>
      <w:r>
        <w:t xml:space="preserve"> </w:t>
      </w:r>
      <w:r>
        <w:rPr>
          <w:rStyle w:val="VerbatimChar"/>
        </w:rPr>
        <w:t xml:space="preserve">vote</w:t>
      </w:r>
      <w:r>
        <w:t xml:space="preserve"> </w:t>
      </w:r>
      <w:r>
        <w:t xml:space="preserve">= 3 (sin derecho a voto), aplica las ponderaciones</w:t>
      </w:r>
      <w:r>
        <w:t xml:space="preserve"> </w:t>
      </w:r>
      <w:r>
        <w:rPr>
          <w:rStyle w:val="VerbatimChar"/>
        </w:rPr>
        <w:t xml:space="preserve">anweight</w:t>
      </w:r>
      <w:r>
        <w:t xml:space="preserve"> </w:t>
      </w:r>
      <w:r>
        <w:t xml:space="preserve">(o</w:t>
      </w:r>
      <w:r>
        <w:t xml:space="preserve"> </w:t>
      </w:r>
      <w:r>
        <w:rPr>
          <w:rStyle w:val="VerbatimChar"/>
        </w:rPr>
        <w:t xml:space="preserve">pspwght</w:t>
      </w:r>
      <w:r>
        <w:t xml:space="preserve"> </w:t>
      </w:r>
      <w:r>
        <w:t xml:space="preserve">×</w:t>
      </w:r>
      <w:r>
        <w:t xml:space="preserve"> </w:t>
      </w:r>
      <w:r>
        <w:rPr>
          <w:rStyle w:val="VerbatimChar"/>
        </w:rPr>
        <w:t xml:space="preserve">pweight</w:t>
      </w:r>
      <w:r>
        <w:t xml:space="preserve"> </w:t>
      </w:r>
      <w:r>
        <w:t xml:space="preserve">en rondas antiguas) y cruza</w:t>
      </w:r>
      <w:r>
        <w:t xml:space="preserve"> </w:t>
      </w:r>
      <w:r>
        <w:rPr>
          <w:rStyle w:val="VerbatimChar"/>
        </w:rPr>
        <w:t xml:space="preserve">vote</w:t>
      </w:r>
      <w:r>
        <w:t xml:space="preserve"> </w:t>
      </w:r>
      <w:r>
        <w:t xml:space="preserve">(1/2) con cada ítem de participación y con</w:t>
      </w:r>
      <w:r>
        <w:t xml:space="preserve"> </w:t>
      </w:r>
      <w:r>
        <w:rPr>
          <w:rStyle w:val="VerbatimChar"/>
        </w:rPr>
        <w:t xml:space="preserve">polintr</w:t>
      </w:r>
      <w:r>
        <w:t xml:space="preserve">, ronda a ronda y agrupando las rondas. El resultado que te sirve para el artículo es el porcentaje de no votantes que firmó peticiones o se manifestó, comparado con el de los votantes, y el porcentaje de no votantes</w:t>
      </w:r>
      <w:r>
        <w:t xml:space="preserve"> </w:t>
      </w:r>
      <w:r>
        <w:t xml:space="preserve">“</w:t>
      </w:r>
      <w:r>
        <w:t xml:space="preserve">muy</w:t>
      </w:r>
      <w:r>
        <w:t xml:space="preserve">”</w:t>
      </w:r>
      <w:r>
        <w:t xml:space="preserve"> </w:t>
      </w:r>
      <w:r>
        <w:t xml:space="preserve">o</w:t>
      </w:r>
      <w:r>
        <w:t xml:space="preserve"> </w:t>
      </w:r>
      <w:r>
        <w:t xml:space="preserve">“</w:t>
      </w:r>
      <w:r>
        <w:t xml:space="preserve">bastante</w:t>
      </w:r>
      <w:r>
        <w:t xml:space="preserve">”</w:t>
      </w:r>
      <w:r>
        <w:t xml:space="preserve"> </w:t>
      </w:r>
      <w:r>
        <w:t xml:space="preserve">interesados. Añade la confianza en políticos o partidos (</w:t>
      </w:r>
      <w:r>
        <w:rPr>
          <w:rStyle w:val="VerbatimChar"/>
        </w:rPr>
        <w:t xml:space="preserve">trstplt</w:t>
      </w:r>
      <w:r>
        <w:t xml:space="preserve">,</w:t>
      </w:r>
      <w:r>
        <w:t xml:space="preserve"> </w:t>
      </w:r>
      <w:r>
        <w:rPr>
          <w:rStyle w:val="VerbatimChar"/>
        </w:rPr>
        <w:t xml:space="preserve">trstprt</w:t>
      </w:r>
      <w:r>
        <w:t xml:space="preserve">) para comprobar si los no votantes participativos son más desconfiados. No he encontrado ningún estudio publicado que haga exactamente este cálculo para España con la ESS.</w:t>
      </w:r>
    </w:p>
    <w:p>
      <w:pPr>
        <w:pStyle w:val="BodyText"/>
      </w:pPr>
      <w:r>
        <w:rPr>
          <w:bCs/>
          <w:b/>
        </w:rPr>
        <w:t xml:space="preserve">Advertencia de sesgo:</w:t>
      </w:r>
      <w:r>
        <w:t xml:space="preserve"> </w:t>
      </w:r>
      <w:r>
        <w:t xml:space="preserve">no he encontrado una advertencia específica de la ESS. La literatura sobre encuestas postelectorales sí documenta que la participación declarada se sobreestima por dos vías: hay más votantes entre quienes aceptan responder y algunos no votantes dicen haber votado. En un estudio suizo con validación del voto, el sesgo total fue de 22,9 puntos, de los que 20,4 se debían a la sobrerrepresentación de votantes y solo un 11 % a la declaración falsa (</w:t>
      </w:r>
      <w:hyperlink r:id="rId52">
        <w:r>
          <w:rPr>
            <w:rStyle w:val="Hyperlink"/>
          </w:rPr>
          <w:t xml:space="preserve">ScienceDirect, 2025</w:t>
        </w:r>
      </w:hyperlink>
      <w:r>
        <w:t xml:space="preserve">). En la práctica, compara la participación declarada en la ESS de España con la oficial de cada elección. Si la ESS da cifras claramente superiores, los no votantes de la muestra serán un grupo más reducido y probablemente más desafecto que la población abstencionista real, y conviene decirlo en el artículo.</w:t>
      </w:r>
    </w:p>
    <w:bookmarkEnd w:id="53"/>
    <w:bookmarkStart w:id="54" w:name="propuesta-de-párrafo-unas-165-palabras"/>
    <w:p>
      <w:pPr>
        <w:pStyle w:val="Heading1"/>
      </w:pPr>
      <w:r>
        <w:t xml:space="preserve">4. Propuesta de párrafo (unas 165 palabras)</w:t>
      </w:r>
    </w:p>
    <w:p>
      <w:pPr>
        <w:pStyle w:val="BlockText"/>
        <w:ind w:left="454"/>
        <w:pBdr>
          <w:left w:val="single" w:sz="18" w:color="2E5597"/>
        </w:pBdr>
      </w:pPr>
      <w:r>
        <w:t xml:space="preserve">En las generales del 23 de julio de 2023 la participación definitiva fue del</w:t>
      </w:r>
      <w:r>
        <w:t xml:space="preserve"> </w:t>
      </w:r>
      <w:hyperlink r:id="rId21">
        <w:r>
          <w:rPr>
            <w:rStyle w:val="Hyperlink"/>
          </w:rPr>
          <w:t xml:space="preserve">66,59 %</w:t>
        </w:r>
      </w:hyperlink>
      <w:r>
        <w:t xml:space="preserve">: más de doce millones y medio de electores no votaron. Leer esa cifra como simple apatía sería un error. En el</w:t>
      </w:r>
      <w:r>
        <w:t xml:space="preserve"> </w:t>
      </w:r>
      <w:hyperlink r:id="rId31">
        <w:r>
          <w:rPr>
            <w:rStyle w:val="Hyperlink"/>
          </w:rPr>
          <w:t xml:space="preserve">Eurobarómetro postelectoral de 2014</w:t>
        </w:r>
      </w:hyperlink>
      <w:r>
        <w:t xml:space="preserve">, la falta de confianza en la política era el primer motivo de abstención en España (30 %), y en 2024 seguía encabezando la lista en el conjunto de la UE (21 %), por delante del desinterés (20 %), según</w:t>
      </w:r>
      <w:r>
        <w:t xml:space="preserve"> </w:t>
      </w:r>
      <w:hyperlink r:id="rId24">
        <w:r>
          <w:rPr>
            <w:rStyle w:val="Hyperlink"/>
          </w:rPr>
          <w:t xml:space="preserve">Euronews</w:t>
        </w:r>
      </w:hyperlink>
      <w:r>
        <w:t xml:space="preserve">. La literatura comparada ofrece una explicación: con datos de la European Social Survey,</w:t>
      </w:r>
      <w:r>
        <w:t xml:space="preserve"> </w:t>
      </w:r>
      <w:hyperlink r:id="rId39">
        <w:r>
          <w:rPr>
            <w:rStyle w:val="Hyperlink"/>
          </w:rPr>
          <w:t xml:space="preserve">Hooghe y Marien (2013)</w:t>
        </w:r>
      </w:hyperlink>
      <w:r>
        <w:t xml:space="preserve"> </w:t>
      </w:r>
      <w:r>
        <w:t xml:space="preserve">muestran que la confianza política impulsa la participación institucional, y el voto en particular, mientras que la desconfianza se asocia a formas no institucionales como firmar peticiones, boicotear productos o manifestarse. Parte de quienes no votan no abandona la política, sino a sus representantes. Su abstención no desmiente la tesis de este artículo: la confirma por otra vía.</w:t>
      </w:r>
    </w:p>
    <w:bookmarkEnd w:id="54"/>
    <w:bookmarkStart w:id="55" w:name="caveats"/>
    <w:p>
      <w:pPr>
        <w:pStyle w:val="Heading1"/>
      </w:pPr>
      <w:r>
        <w:t xml:space="preserve">Caveats</w:t>
      </w:r>
    </w:p>
    <w:p>
      <w:pPr>
        <w:numPr>
          <w:ilvl w:val="0"/>
          <w:numId w:val="1007"/>
        </w:numPr>
        <w:pStyle w:val="Compact"/>
      </w:pPr>
      <w:r>
        <w:t xml:space="preserve">Los datos no-CIS sobre los motivos se refieren a</w:t>
      </w:r>
      <w:r>
        <w:t xml:space="preserve"> </w:t>
      </w:r>
      <w:r>
        <w:rPr>
          <w:bCs/>
          <w:b/>
        </w:rPr>
        <w:t xml:space="preserve">elecciones europeas</w:t>
      </w:r>
      <w:r>
        <w:t xml:space="preserve"> </w:t>
      </w:r>
      <w:r>
        <w:t xml:space="preserve">(Eurobarómetro) o a unas autonómicas (Euskadi), no a las generales. El párrafo lo deja claro implícitamente; si un lector lo cuestiona, la única fuente para el 23-J es el CIS (23,9 % por falta de confianza).</w:t>
      </w:r>
    </w:p>
    <w:p>
      <w:pPr>
        <w:numPr>
          <w:ilvl w:val="0"/>
          <w:numId w:val="1007"/>
        </w:numPr>
        <w:pStyle w:val="Compact"/>
      </w:pPr>
      <w:r>
        <w:t xml:space="preserve">El 25 % de España en 2024 procede de una agencia (ACN), no de la ficha oficial. Por eso el párrafo usa el 30 % de 2014, que es primario.</w:t>
      </w:r>
    </w:p>
    <w:p>
      <w:pPr>
        <w:numPr>
          <w:ilvl w:val="0"/>
          <w:numId w:val="1007"/>
        </w:numPr>
        <w:pStyle w:val="Compact"/>
      </w:pPr>
      <w:r>
        <w:t xml:space="preserve">Las referencias de Schudson y Rosanvallon no se han verificado en esta búsqueda; las de Norris, Dalton y Torcal se han verificado con los datos de la editorial y el DOI.</w:t>
      </w:r>
    </w:p>
    <w:p>
      <w:pPr>
        <w:numPr>
          <w:ilvl w:val="0"/>
          <w:numId w:val="1007"/>
        </w:numPr>
        <w:pStyle w:val="Compact"/>
      </w:pPr>
      <w:r>
        <w:t xml:space="preserve">La abstención crítica es real, pero minoritaria frente al conjunto: también hay abstención por exclusión y por circunstancias personales (12–13 % por vacaciones o ausencia, 12 % por trabajo en la UE).</w:t>
      </w:r>
    </w:p>
    <w:bookmarkEnd w:id="55"/>
    <w:sect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20" w:before="180"/>
    </w:pPr>
    <w:qFormat/>
    <w:rPr>
      <w:rFonts w:ascii="Calibri" w:hAnsi="Calibri" w:cs="Calibri" w:eastAsia="Calibri"/>
      <w:sz w:val="22"/>
    </w:rPr>
  </w:style>
  <w:style w:customStyle="1" w:styleId="FirstParagraph" w:type="paragraph">
    <w:name w:val="First Paragraph"/>
    <w:basedOn w:val="BodyText"/>
    <w:next w:val="BodyText"/>
    <w:qFormat/>
    <w:pPr>
      <w:spacing w:after="120"/>
    </w:pPr>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864"/>
      <w:sz w:val="44"/>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595959"/>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hyperlink" Target="https://aelpa.org/web-2018/wp-content/uploads/2023/09/Es3420marMT_A.pdf" TargetMode="External"/><Relationship Id="rId22" Type="http://schemas.openxmlformats.org/officeDocument/2006/relationships/hyperlink" Target="https://barcelona.europarl.europa.eu/es/news/eu-post-electoral-survey-2024" TargetMode="External"/><Relationship Id="rId25" Type="http://schemas.openxmlformats.org/officeDocument/2006/relationships/hyperlink" Target="https://commission.europa.eu/document/download/2a7fddb2-e927-4079-92cc-4bb4279e9a46_en?filename=Report+on+the+2024+elections+to+the+European+Parliament.pdf" TargetMode="External"/><Relationship Id="rId45" Type="http://schemas.openxmlformats.org/officeDocument/2006/relationships/hyperlink" Target="https://doi.org/10.1080/1369118X.2013.808360" TargetMode="External"/><Relationship Id="rId39" Type="http://schemas.openxmlformats.org/officeDocument/2006/relationships/hyperlink" Target="https://doi.org/10.1080/14616696.2012.692807" TargetMode="External"/><Relationship Id="rId47" Type="http://schemas.openxmlformats.org/officeDocument/2006/relationships/hyperlink" Target="https://doi.org/10.1093/0198295685.001.0001" TargetMode="External"/><Relationship Id="rId42" Type="http://schemas.openxmlformats.org/officeDocument/2006/relationships/hyperlink" Target="https://doi.org/10.1111/1475-6765.00025" TargetMode="External"/><Relationship Id="rId40" Type="http://schemas.openxmlformats.org/officeDocument/2006/relationships/hyperlink" Target="https://doi.org/10.1111/j.1467-9248.2009.00801.x" TargetMode="External"/><Relationship Id="rId46" Type="http://schemas.openxmlformats.org/officeDocument/2006/relationships/hyperlink" Target="https://doi.org/10.1177/0002764214534662" TargetMode="External"/><Relationship Id="rId44" Type="http://schemas.openxmlformats.org/officeDocument/2006/relationships/hyperlink" Target="https://doi.org/10.5477/cis/mon.143.472" TargetMode="External"/><Relationship Id="rId24" Type="http://schemas.openxmlformats.org/officeDocument/2006/relationships/hyperlink" Target="https://euronews.com/my-europe/2024/11/01/cost-of-living-crisis-main-concern-for-eu-election-voters-report-says" TargetMode="External"/><Relationship Id="rId30" Type="http://schemas.openxmlformats.org/officeDocument/2006/relationships/hyperlink" Target="https://europa.eu/eurobarometer/surveys/detail/2312" TargetMode="External"/><Relationship Id="rId28" Type="http://schemas.openxmlformats.org/officeDocument/2006/relationships/hyperlink" Target="https://europa.eu/eurobarometer/surveys/detail/3292" TargetMode="External"/><Relationship Id="rId26" Type="http://schemas.openxmlformats.org/officeDocument/2006/relationships/hyperlink" Target="https://feps-europe.eu/youth-turnout-in-the-2024-european-elections-a-closer-look-at-the-under-25-vote/" TargetMode="External"/><Relationship Id="rId50" Type="http://schemas.openxmlformats.org/officeDocument/2006/relationships/hyperlink" Target="https://stessrelpubprodwe.blob.core.windows.net/data/round9/fieldwork/source/ESS9_source_questionnaires.pdf" TargetMode="External"/><Relationship Id="rId43" Type="http://schemas.openxmlformats.org/officeDocument/2006/relationships/hyperlink" Target="https://www.cepc.gob.es/publicaciones/revistas/revista-de-estudios-politicos/numero-68-abriljunio-1990/panoramica-de-la-abstencion-electoral-en-espana-1" TargetMode="External"/><Relationship Id="rId41" Type="http://schemas.openxmlformats.org/officeDocument/2006/relationships/hyperlink" Target="https://www.cis.es/-/-individuos-o-sistemas-las-razones-de-la-abstencion-en-europa-occidental" TargetMode="External"/><Relationship Id="rId36" Type="http://schemas.openxmlformats.org/officeDocument/2006/relationships/hyperlink" Target="https://www.cis.es/documents/d/guest/es3465marMT_a" TargetMode="External"/><Relationship Id="rId27" Type="http://schemas.openxmlformats.org/officeDocument/2006/relationships/hyperlink" Target="https://www.elnacional.cat/es/politica/2-cada-10-jovenes-menores-24-anos-votaron-elecciones-europeas-9-j_1293438_102.html" TargetMode="External"/><Relationship Id="rId29" Type="http://schemas.openxmlformats.org/officeDocument/2006/relationships/hyperlink" Target="https://www.europarl.europa.eu/RegData/docs_autres_institutions/commission_europeenne/swd/2020/0113/COM_SWD(2020)0113_EN.pdf" TargetMode="External"/><Relationship Id="rId31" Type="http://schemas.openxmlformats.org/officeDocument/2006/relationships/hyperlink" Target="https://www.europarl.europa.eu/pdf/eurobarometre/2014/post/post_2014_survey_analitical_overview_en.pdf" TargetMode="External"/><Relationship Id="rId49" Type="http://schemas.openxmlformats.org/officeDocument/2006/relationships/hyperlink" Target="https://www.europeansocialsurvey.org/sites/default/files/2023-06/ESS-Round-10-Source-Questionnaire_FINAL_A.pdf" TargetMode="External"/><Relationship Id="rId51" Type="http://schemas.openxmlformats.org/officeDocument/2006/relationships/hyperlink" Target="https://www.europeansocialsurvey.org/sites/default/files/2024-01/Appendix%202%20Item%20usage%20report%202003-22.pdf" TargetMode="External"/><Relationship Id="rId32" Type="http://schemas.openxmlformats.org/officeDocument/2006/relationships/hyperlink" Target="https://www.euskadi.eus/contenidos/documentacion/o_24tef3/es_def/adjuntos/24tef3_prentsa_oharra_es.pdf" TargetMode="External"/><Relationship Id="rId33" Type="http://schemas.openxmlformats.org/officeDocument/2006/relationships/hyperlink" Target="https://www.injuve.es/sites/default/files/2018/27/publicaciones/sondeo_2017-1_informe.pdf" TargetMode="External"/><Relationship Id="rId21" Type="http://schemas.openxmlformats.org/officeDocument/2006/relationships/hyperlink" Target="https://www.newtral.es/participacion-23-j/20230918/" TargetMode="External"/><Relationship Id="rId52" Type="http://schemas.openxmlformats.org/officeDocument/2006/relationships/hyperlink" Target="https://www.sciencedirect.com/science/article/pii/S0261379425000885"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aelpa.org/web-2018/wp-content/uploads/2023/09/Es3420marMT_A.pdf" TargetMode="External"/><Relationship Id="rId22" Type="http://schemas.openxmlformats.org/officeDocument/2006/relationships/hyperlink" Target="https://barcelona.europarl.europa.eu/es/news/eu-post-electoral-survey-2024" TargetMode="External"/><Relationship Id="rId25" Type="http://schemas.openxmlformats.org/officeDocument/2006/relationships/hyperlink" Target="https://commission.europa.eu/document/download/2a7fddb2-e927-4079-92cc-4bb4279e9a46_en?filename=Report+on+the+2024+elections+to+the+European+Parliament.pdf" TargetMode="External"/><Relationship Id="rId45" Type="http://schemas.openxmlformats.org/officeDocument/2006/relationships/hyperlink" Target="https://doi.org/10.1080/1369118X.2013.808360" TargetMode="External"/><Relationship Id="rId39" Type="http://schemas.openxmlformats.org/officeDocument/2006/relationships/hyperlink" Target="https://doi.org/10.1080/14616696.2012.692807" TargetMode="External"/><Relationship Id="rId47" Type="http://schemas.openxmlformats.org/officeDocument/2006/relationships/hyperlink" Target="https://doi.org/10.1093/0198295685.001.0001" TargetMode="External"/><Relationship Id="rId42" Type="http://schemas.openxmlformats.org/officeDocument/2006/relationships/hyperlink" Target="https://doi.org/10.1111/1475-6765.00025" TargetMode="External"/><Relationship Id="rId40" Type="http://schemas.openxmlformats.org/officeDocument/2006/relationships/hyperlink" Target="https://doi.org/10.1111/j.1467-9248.2009.00801.x" TargetMode="External"/><Relationship Id="rId46" Type="http://schemas.openxmlformats.org/officeDocument/2006/relationships/hyperlink" Target="https://doi.org/10.1177/0002764214534662" TargetMode="External"/><Relationship Id="rId44" Type="http://schemas.openxmlformats.org/officeDocument/2006/relationships/hyperlink" Target="https://doi.org/10.5477/cis/mon.143.472" TargetMode="External"/><Relationship Id="rId24" Type="http://schemas.openxmlformats.org/officeDocument/2006/relationships/hyperlink" Target="https://euronews.com/my-europe/2024/11/01/cost-of-living-crisis-main-concern-for-eu-election-voters-report-says" TargetMode="External"/><Relationship Id="rId30" Type="http://schemas.openxmlformats.org/officeDocument/2006/relationships/hyperlink" Target="https://europa.eu/eurobarometer/surveys/detail/2312" TargetMode="External"/><Relationship Id="rId28" Type="http://schemas.openxmlformats.org/officeDocument/2006/relationships/hyperlink" Target="https://europa.eu/eurobarometer/surveys/detail/3292" TargetMode="External"/><Relationship Id="rId26" Type="http://schemas.openxmlformats.org/officeDocument/2006/relationships/hyperlink" Target="https://feps-europe.eu/youth-turnout-in-the-2024-european-elections-a-closer-look-at-the-under-25-vote/" TargetMode="External"/><Relationship Id="rId50" Type="http://schemas.openxmlformats.org/officeDocument/2006/relationships/hyperlink" Target="https://stessrelpubprodwe.blob.core.windows.net/data/round9/fieldwork/source/ESS9_source_questionnaires.pdf" TargetMode="External"/><Relationship Id="rId43" Type="http://schemas.openxmlformats.org/officeDocument/2006/relationships/hyperlink" Target="https://www.cepc.gob.es/publicaciones/revistas/revista-de-estudios-politicos/numero-68-abriljunio-1990/panoramica-de-la-abstencion-electoral-en-espana-1" TargetMode="External"/><Relationship Id="rId41" Type="http://schemas.openxmlformats.org/officeDocument/2006/relationships/hyperlink" Target="https://www.cis.es/-/-individuos-o-sistemas-las-razones-de-la-abstencion-en-europa-occidental" TargetMode="External"/><Relationship Id="rId36" Type="http://schemas.openxmlformats.org/officeDocument/2006/relationships/hyperlink" Target="https://www.cis.es/documents/d/guest/es3465marMT_a" TargetMode="External"/><Relationship Id="rId27" Type="http://schemas.openxmlformats.org/officeDocument/2006/relationships/hyperlink" Target="https://www.elnacional.cat/es/politica/2-cada-10-jovenes-menores-24-anos-votaron-elecciones-europeas-9-j_1293438_102.html" TargetMode="External"/><Relationship Id="rId29" Type="http://schemas.openxmlformats.org/officeDocument/2006/relationships/hyperlink" Target="https://www.europarl.europa.eu/RegData/docs_autres_institutions/commission_europeenne/swd/2020/0113/COM_SWD(2020)0113_EN.pdf" TargetMode="External"/><Relationship Id="rId31" Type="http://schemas.openxmlformats.org/officeDocument/2006/relationships/hyperlink" Target="https://www.europarl.europa.eu/pdf/eurobarometre/2014/post/post_2014_survey_analitical_overview_en.pdf" TargetMode="External"/><Relationship Id="rId49" Type="http://schemas.openxmlformats.org/officeDocument/2006/relationships/hyperlink" Target="https://www.europeansocialsurvey.org/sites/default/files/2023-06/ESS-Round-10-Source-Questionnaire_FINAL_A.pdf" TargetMode="External"/><Relationship Id="rId51" Type="http://schemas.openxmlformats.org/officeDocument/2006/relationships/hyperlink" Target="https://www.europeansocialsurvey.org/sites/default/files/2024-01/Appendix%202%20Item%20usage%20report%202003-22.pdf" TargetMode="External"/><Relationship Id="rId32" Type="http://schemas.openxmlformats.org/officeDocument/2006/relationships/hyperlink" Target="https://www.euskadi.eus/contenidos/documentacion/o_24tef3/es_def/adjuntos/24tef3_prentsa_oharra_es.pdf" TargetMode="External"/><Relationship Id="rId33" Type="http://schemas.openxmlformats.org/officeDocument/2006/relationships/hyperlink" Target="https://www.injuve.es/sites/default/files/2018/27/publicaciones/sondeo_2017-1_informe.pdf" TargetMode="External"/><Relationship Id="rId21" Type="http://schemas.openxmlformats.org/officeDocument/2006/relationships/hyperlink" Target="https://www.newtral.es/participacion-23-j/20230918/" TargetMode="External"/><Relationship Id="rId52" Type="http://schemas.openxmlformats.org/officeDocument/2006/relationships/hyperlink" Target="https://www.sciencedirect.com/science/article/pii/S0261379425000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abstención en España: motivos declarados, abstención crítica y datos ESS</dc:title>
  <dc:creator/>
  <dc:language>es-ES</dc:language>
  <cp:keywords/>
  <dcterms:created xsi:type="dcterms:W3CDTF">2026-10-06T11:18:06Z</dcterms:created>
  <dcterms:modified xsi:type="dcterms:W3CDTF">2026-10-06T11:18:06Z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para el párrafo sobre los no votantes</vt:lpwstr>
  </property>
</Properties>
</file>