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62B1B" w14:textId="77777777" w:rsidR="00E30CA3" w:rsidRPr="0078661E" w:rsidRDefault="00E30CA3" w:rsidP="0078661E">
      <w:pPr>
        <w:spacing w:line="360" w:lineRule="auto"/>
        <w:jc w:val="center"/>
        <w:rPr>
          <w:b/>
        </w:rPr>
      </w:pPr>
      <w:bookmarkStart w:id="0" w:name="_Toc452814727"/>
      <w:r w:rsidRPr="0078661E">
        <w:rPr>
          <w:b/>
        </w:rPr>
        <w:t>2.2 Общая постановка задачи обучения с подкреплением</w:t>
      </w:r>
    </w:p>
    <w:p w14:paraId="4D305A63" w14:textId="77777777" w:rsidR="00757B50" w:rsidRPr="0078661E" w:rsidRDefault="0075058B" w:rsidP="0078661E">
      <w:pPr>
        <w:spacing w:line="360" w:lineRule="auto"/>
        <w:jc w:val="center"/>
        <w:rPr>
          <w:b/>
        </w:rPr>
      </w:pPr>
      <w:r w:rsidRPr="0078661E">
        <w:rPr>
          <w:b/>
        </w:rPr>
        <w:t>2.2.1 Значение оценочной обратной связи</w:t>
      </w:r>
      <w:bookmarkStart w:id="1" w:name="_Toc452814728"/>
      <w:bookmarkEnd w:id="0"/>
    </w:p>
    <w:p w14:paraId="53086EEA" w14:textId="77777777" w:rsidR="00A92422" w:rsidRDefault="00A92422" w:rsidP="0078661E">
      <w:pPr>
        <w:spacing w:line="360" w:lineRule="auto"/>
        <w:ind w:firstLine="708"/>
      </w:pPr>
      <w:r>
        <w:t>Как уже было сказано, цель обучения с подкреплением заключается в максимизации выгоды для интеллектуального агента. Здесь мы можем рассматривать две задачи: прогнозирование и управление.</w:t>
      </w:r>
    </w:p>
    <w:p w14:paraId="0593F6E1" w14:textId="77777777" w:rsidR="00A92422" w:rsidRPr="009824E0" w:rsidRDefault="00A92422" w:rsidP="0078661E">
      <w:pPr>
        <w:spacing w:line="360" w:lineRule="auto"/>
        <w:ind w:firstLine="708"/>
      </w:pPr>
      <w:r>
        <w:t>В задаче прогнозирования обучение с подкреплением используетс</w:t>
      </w:r>
      <w:r w:rsidR="009824E0">
        <w:t>я только для вычисления некой политики</w:t>
      </w:r>
      <w:r w:rsidR="008F0353">
        <w:t xml:space="preserve"> (стратегии)</w:t>
      </w:r>
      <w:r w:rsidR="009824E0">
        <w:t xml:space="preserve">, которая описывает для каждого посещаемого состояния ожидаемую в будущем награду. </w:t>
      </w:r>
      <w:r w:rsidR="009824E0" w:rsidRPr="009824E0">
        <w:t>[8]</w:t>
      </w:r>
    </w:p>
    <w:p w14:paraId="1872D07C" w14:textId="77777777" w:rsidR="009824E0" w:rsidRPr="0078661E" w:rsidRDefault="009824E0" w:rsidP="0078661E">
      <w:pPr>
        <w:spacing w:line="360" w:lineRule="auto"/>
        <w:ind w:firstLine="708"/>
      </w:pPr>
      <w:r>
        <w:t xml:space="preserve">Задача управления ставит перед собой поиск набора </w:t>
      </w:r>
      <w:r w:rsidR="008F0353">
        <w:t>стратегий</w:t>
      </w:r>
      <w:r>
        <w:t>, который максимизирует награду в режиме реального времени, т.е. во время переходов от одного состояния к другому.</w:t>
      </w:r>
      <w:r w:rsidRPr="009824E0">
        <w:t xml:space="preserve"> </w:t>
      </w:r>
      <w:r w:rsidRPr="0078661E">
        <w:t>[8]</w:t>
      </w:r>
    </w:p>
    <w:p w14:paraId="07B4E81D" w14:textId="77777777" w:rsidR="00A92422" w:rsidRPr="00E90C49" w:rsidRDefault="009824E0" w:rsidP="0078661E">
      <w:pPr>
        <w:spacing w:line="360" w:lineRule="auto"/>
        <w:ind w:firstLine="708"/>
      </w:pPr>
      <w:r>
        <w:t>Для поиска оптимального маршрута используются алгоритмы, упомянутые в п. 2.1. При этом с</w:t>
      </w:r>
      <w:r w:rsidR="00A92422">
        <w:t xml:space="preserve">уществует два вида нейрональных архитектур для прогнозирования и контроля: с обратной связью и без обратной связи. </w:t>
      </w:r>
      <w:r w:rsidRPr="00E90C49">
        <w:t>[8]</w:t>
      </w:r>
    </w:p>
    <w:p w14:paraId="42394374" w14:textId="77777777" w:rsidR="009824E0" w:rsidRPr="00D144F0" w:rsidRDefault="009824E0" w:rsidP="0078661E">
      <w:pPr>
        <w:spacing w:line="360" w:lineRule="auto"/>
        <w:ind w:firstLine="708"/>
      </w:pPr>
      <w:r>
        <w:t xml:space="preserve">Классический пример обучения с подкреплением без обратной связи – собака Павлова. </w:t>
      </w:r>
      <w:r w:rsidRPr="00D144F0">
        <w:t xml:space="preserve">[42] </w:t>
      </w:r>
      <w:r w:rsidR="00D144F0">
        <w:t>В данном случае</w:t>
      </w:r>
      <w:r>
        <w:t xml:space="preserve"> собака является интеллектуальным агентом, пища </w:t>
      </w:r>
      <w:r w:rsidR="00D144F0">
        <w:t>–</w:t>
      </w:r>
      <w:r>
        <w:t xml:space="preserve"> бе</w:t>
      </w:r>
      <w:r w:rsidR="00D144F0">
        <w:t xml:space="preserve">зусловным раздражителем, звонок – условным. Условный раздражитель предсказывает безусловный, после обучения у агента появляется реакция на условный раздражитель. В данном случае нет обратной связи, т.к. реакция на условный раздражитель не влияет на представление стимулов. </w:t>
      </w:r>
      <w:r w:rsidR="00D144F0" w:rsidRPr="00D144F0">
        <w:t>[8]</w:t>
      </w:r>
    </w:p>
    <w:p w14:paraId="29DD8558" w14:textId="22AACF9F" w:rsidR="00D144F0" w:rsidRPr="00E30CA3" w:rsidRDefault="00D144F0" w:rsidP="0078661E">
      <w:pPr>
        <w:spacing w:line="360" w:lineRule="auto"/>
        <w:ind w:firstLine="708"/>
      </w:pPr>
      <w:r>
        <w:t>В случае существования обратной связи архитектура обучения представляет собой замкнутую схему</w:t>
      </w:r>
      <w:r w:rsidR="004A4BB6">
        <w:t>.</w:t>
      </w:r>
      <w:r>
        <w:t xml:space="preserve"> </w:t>
      </w:r>
      <w:r w:rsidR="004A4BB6">
        <w:t>Замкнутость</w:t>
      </w:r>
      <w:r w:rsidR="00FF3335">
        <w:t xml:space="preserve"> необходим</w:t>
      </w:r>
      <w:r w:rsidR="004A4BB6">
        <w:t>а</w:t>
      </w:r>
      <w:r w:rsidR="00DA6ABF">
        <w:t xml:space="preserve"> для решения задачи управления</w:t>
      </w:r>
      <w:r w:rsidR="00E30CA3">
        <w:t>, т.к. действия агента влияют на свои собственные входные значения.</w:t>
      </w:r>
      <w:r w:rsidR="004A4BB6">
        <w:t xml:space="preserve"> Эта схема изображена на рисунке 1. Точка </w:t>
      </w:r>
      <w:r w:rsidR="004A4BB6">
        <w:rPr>
          <w:lang w:val="en-US"/>
        </w:rPr>
        <w:t>X</w:t>
      </w:r>
      <w:r w:rsidR="004A4BB6" w:rsidRPr="004A4BB6">
        <w:rPr>
          <w:vertAlign w:val="subscript"/>
        </w:rPr>
        <w:t>0</w:t>
      </w:r>
      <w:r w:rsidR="004A4BB6" w:rsidRPr="004A4BB6">
        <w:t xml:space="preserve"> </w:t>
      </w:r>
      <w:r w:rsidR="004A4BB6">
        <w:t xml:space="preserve">является сигналом обратной связи. </w:t>
      </w:r>
      <w:r w:rsidR="004A4BB6" w:rsidRPr="00E30CA3">
        <w:t>[8, 3</w:t>
      </w:r>
      <w:r w:rsidR="00E90C49">
        <w:rPr>
          <w:lang w:val="en-US"/>
        </w:rPr>
        <w:t>5</w:t>
      </w:r>
      <w:r w:rsidR="004A4BB6" w:rsidRPr="00E30CA3">
        <w:t>]</w:t>
      </w:r>
    </w:p>
    <w:p w14:paraId="32515065" w14:textId="77777777" w:rsidR="004A4BB6" w:rsidRDefault="004A4BB6" w:rsidP="0078661E">
      <w:pPr>
        <w:spacing w:line="360" w:lineRule="auto"/>
      </w:pPr>
      <w:r w:rsidRPr="004A4BB6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656CCF8" wp14:editId="5B022481">
            <wp:simplePos x="0" y="0"/>
            <wp:positionH relativeFrom="column">
              <wp:posOffset>886265</wp:posOffset>
            </wp:positionH>
            <wp:positionV relativeFrom="paragraph">
              <wp:posOffset>63305</wp:posOffset>
            </wp:positionV>
            <wp:extent cx="4314741" cy="1596293"/>
            <wp:effectExtent l="0" t="0" r="0" b="444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41" cy="159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5FAD8" w14:textId="77777777" w:rsidR="004A4BB6" w:rsidRPr="004A4BB6" w:rsidRDefault="004A4BB6" w:rsidP="0078661E">
      <w:pPr>
        <w:spacing w:line="360" w:lineRule="auto"/>
      </w:pPr>
    </w:p>
    <w:p w14:paraId="52F52D99" w14:textId="77777777" w:rsidR="004A4BB6" w:rsidRDefault="004A4BB6" w:rsidP="0078661E">
      <w:pPr>
        <w:spacing w:line="360" w:lineRule="auto"/>
      </w:pPr>
    </w:p>
    <w:p w14:paraId="22E32D9C" w14:textId="77777777" w:rsidR="00FF3335" w:rsidRPr="004A4BB6" w:rsidRDefault="004A4BB6" w:rsidP="0078661E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3F3D9B" wp14:editId="212B4DDC">
                <wp:simplePos x="0" y="0"/>
                <wp:positionH relativeFrom="margin">
                  <wp:align>right</wp:align>
                </wp:positionH>
                <wp:positionV relativeFrom="paragraph">
                  <wp:posOffset>405765</wp:posOffset>
                </wp:positionV>
                <wp:extent cx="5935980" cy="48514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7613A" w14:textId="77777777" w:rsidR="004A4BB6" w:rsidRPr="004A4BB6" w:rsidRDefault="004A4BB6" w:rsidP="004A4BB6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4A4BB6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Рисунок 1 – Архитектура обучения с подкреплением с обратной связью</w:t>
                            </w:r>
                          </w:p>
                          <w:p w14:paraId="58699149" w14:textId="77777777" w:rsidR="004A4BB6" w:rsidRDefault="004A4B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F3D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6.2pt;margin-top:31.95pt;width:467.4pt;height:38.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" filled="f" stroked="f" strokeweight="1pt">
                <v:textbox>
                  <w:txbxContent>
                    <w:p w14:paraId="0747613A" w14:textId="77777777" w:rsidR="004A4BB6" w:rsidRPr="004A4BB6" w:rsidRDefault="004A4BB6" w:rsidP="004A4BB6">
                      <w:pPr>
                        <w:spacing w:line="360" w:lineRule="auto"/>
                        <w:ind w:firstLine="709"/>
                        <w:jc w:val="center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4A4BB6">
                        <w:rPr>
                          <w:color w:val="000000" w:themeColor="text1"/>
                          <w:sz w:val="24"/>
                          <w:szCs w:val="28"/>
                        </w:rPr>
                        <w:t>Рисунок 1 – Архитектура обучения с подкреплением с обратной связью</w:t>
                      </w:r>
                    </w:p>
                    <w:p w14:paraId="58699149" w14:textId="77777777" w:rsidR="004A4BB6" w:rsidRDefault="004A4BB6"/>
                  </w:txbxContent>
                </v:textbox>
                <w10:wrap type="square" anchorx="margin"/>
              </v:shape>
            </w:pict>
          </mc:Fallback>
        </mc:AlternateContent>
      </w:r>
    </w:p>
    <w:p w14:paraId="00598A26" w14:textId="77777777" w:rsidR="004A4BB6" w:rsidRDefault="004A4BB6" w:rsidP="0078661E">
      <w:pPr>
        <w:spacing w:line="360" w:lineRule="auto"/>
      </w:pPr>
    </w:p>
    <w:p w14:paraId="06158A6E" w14:textId="2BFD722A" w:rsidR="00E30CA3" w:rsidRDefault="00E30CA3" w:rsidP="0078661E">
      <w:pPr>
        <w:spacing w:line="360" w:lineRule="auto"/>
        <w:ind w:firstLine="708"/>
        <w:rPr>
          <w:lang w:val="en-US"/>
        </w:rPr>
      </w:pPr>
      <w:r>
        <w:t xml:space="preserve">На рисунке 2 показана эта же архитектура, расширенная до так называемой модели </w:t>
      </w:r>
      <w:r w:rsidR="000F4E09">
        <w:t>А</w:t>
      </w:r>
      <w:r>
        <w:t>ктёр-</w:t>
      </w:r>
      <w:r w:rsidR="000F4E09">
        <w:t>К</w:t>
      </w:r>
      <w:r>
        <w:t>ритик (</w:t>
      </w:r>
      <w:r w:rsidR="000F4E09">
        <w:rPr>
          <w:lang w:val="en-US"/>
        </w:rPr>
        <w:t>A</w:t>
      </w:r>
      <w:r>
        <w:rPr>
          <w:lang w:val="en-US"/>
        </w:rPr>
        <w:t>ctor</w:t>
      </w:r>
      <w:r w:rsidRPr="00E30CA3">
        <w:t>-</w:t>
      </w:r>
      <w:r w:rsidR="000F4E09">
        <w:rPr>
          <w:lang w:val="en-US"/>
        </w:rPr>
        <w:t>C</w:t>
      </w:r>
      <w:r>
        <w:rPr>
          <w:lang w:val="en-US"/>
        </w:rPr>
        <w:t>ritic</w:t>
      </w:r>
      <w:r>
        <w:t>)</w:t>
      </w:r>
      <w:r w:rsidRPr="00E30CA3">
        <w:t xml:space="preserve">. </w:t>
      </w:r>
      <w:r>
        <w:t xml:space="preserve">Эта модель получила такое название благодаря аналогии с актёром, который выбирает действие, и с критиком, который эти действия критикует. Критик представляет собой </w:t>
      </w:r>
      <w:r w:rsidR="0025624D">
        <w:t>функцию оценочной стоимости.</w:t>
      </w:r>
      <w:r w:rsidR="000F4E09">
        <w:t xml:space="preserve"> </w:t>
      </w:r>
      <w:r w:rsidR="000F4E09">
        <w:rPr>
          <w:lang w:val="en-US"/>
        </w:rPr>
        <w:t>[8, 3</w:t>
      </w:r>
      <w:r w:rsidR="00E90C49">
        <w:rPr>
          <w:lang w:val="en-US"/>
        </w:rPr>
        <w:t>5</w:t>
      </w:r>
      <w:r w:rsidR="000F4E09">
        <w:rPr>
          <w:lang w:val="en-US"/>
        </w:rPr>
        <w:t>]</w:t>
      </w:r>
    </w:p>
    <w:p w14:paraId="45F99092" w14:textId="77777777" w:rsidR="003B737B" w:rsidRPr="000F4E09" w:rsidRDefault="003B737B" w:rsidP="0078661E">
      <w:pPr>
        <w:spacing w:line="360" w:lineRule="auto"/>
        <w:ind w:firstLine="708"/>
        <w:rPr>
          <w:lang w:val="en-US"/>
        </w:rPr>
      </w:pPr>
    </w:p>
    <w:p w14:paraId="036C6167" w14:textId="77777777" w:rsidR="0025624D" w:rsidRDefault="000F4E09" w:rsidP="0078661E">
      <w:pPr>
        <w:spacing w:line="36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56AFCA" wp14:editId="39A29B12">
                <wp:simplePos x="0" y="0"/>
                <wp:positionH relativeFrom="margin">
                  <wp:align>right</wp:align>
                </wp:positionH>
                <wp:positionV relativeFrom="paragraph">
                  <wp:posOffset>2148205</wp:posOffset>
                </wp:positionV>
                <wp:extent cx="5935980" cy="48514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CFD87" w14:textId="77777777" w:rsidR="0025624D" w:rsidRPr="004A4BB6" w:rsidRDefault="0025624D" w:rsidP="0025624D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4A4BB6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Рисунок </w:t>
                            </w:r>
                            <w:r w:rsidR="000F4E09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2</w:t>
                            </w:r>
                            <w:r w:rsidRPr="004A4BB6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– Архитектура </w:t>
                            </w:r>
                            <w:r w:rsidR="000F4E09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Актёр-Критик</w:t>
                            </w:r>
                          </w:p>
                          <w:p w14:paraId="0126C757" w14:textId="77777777" w:rsidR="0025624D" w:rsidRDefault="0025624D" w:rsidP="002562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AFCA" id="_x0000_s1027" type="#_x0000_t202" style="position:absolute;left:0;text-align:left;margin-left:416.2pt;margin-top:169.15pt;width:467.4pt;height:38.2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" filled="f" stroked="f" strokeweight="1pt">
                <v:textbox>
                  <w:txbxContent>
                    <w:p w14:paraId="06CCFD87" w14:textId="77777777" w:rsidR="0025624D" w:rsidRPr="004A4BB6" w:rsidRDefault="0025624D" w:rsidP="0025624D">
                      <w:pPr>
                        <w:spacing w:line="360" w:lineRule="auto"/>
                        <w:ind w:firstLine="709"/>
                        <w:jc w:val="center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4A4BB6">
                        <w:rPr>
                          <w:color w:val="000000" w:themeColor="text1"/>
                          <w:sz w:val="24"/>
                          <w:szCs w:val="28"/>
                        </w:rPr>
                        <w:t xml:space="preserve">Рисунок </w:t>
                      </w:r>
                      <w:r w:rsidR="000F4E09">
                        <w:rPr>
                          <w:color w:val="000000" w:themeColor="text1"/>
                          <w:sz w:val="24"/>
                          <w:szCs w:val="28"/>
                        </w:rPr>
                        <w:t>2</w:t>
                      </w:r>
                      <w:r w:rsidRPr="004A4BB6">
                        <w:rPr>
                          <w:color w:val="000000" w:themeColor="text1"/>
                          <w:sz w:val="24"/>
                          <w:szCs w:val="28"/>
                        </w:rPr>
                        <w:t xml:space="preserve"> – Архитектура </w:t>
                      </w:r>
                      <w:r w:rsidR="000F4E09">
                        <w:rPr>
                          <w:color w:val="000000" w:themeColor="text1"/>
                          <w:sz w:val="24"/>
                          <w:szCs w:val="28"/>
                        </w:rPr>
                        <w:t>Актёр-Критик</w:t>
                      </w:r>
                    </w:p>
                    <w:p w14:paraId="0126C757" w14:textId="77777777" w:rsidR="0025624D" w:rsidRDefault="0025624D" w:rsidP="0025624D"/>
                  </w:txbxContent>
                </v:textbox>
                <w10:wrap type="square" anchorx="margin"/>
              </v:shape>
            </w:pict>
          </mc:Fallback>
        </mc:AlternateContent>
      </w:r>
      <w:r w:rsidR="0025624D" w:rsidRPr="0025624D">
        <w:rPr>
          <w:noProof/>
          <w:lang w:eastAsia="ru-RU"/>
        </w:rPr>
        <w:drawing>
          <wp:inline distT="0" distB="0" distL="0" distR="0" wp14:anchorId="2E23CE58" wp14:editId="2EAFC06A">
            <wp:extent cx="4605164" cy="2046849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050" cy="205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5A2F" w14:textId="77777777" w:rsidR="00737E7D" w:rsidRDefault="00DF5C3E" w:rsidP="00DF5C3E">
      <w:pPr>
        <w:spacing w:line="360" w:lineRule="auto"/>
        <w:ind w:firstLine="708"/>
        <w:rPr>
          <w:rFonts w:cs="Times New Roman"/>
        </w:rPr>
      </w:pPr>
      <w:r w:rsidRPr="00DF5C3E">
        <w:rPr>
          <w:rFonts w:cs="Times New Roman"/>
        </w:rPr>
        <w:t>Таким образом, обучение с подкреплением предполагает взаимодействие между некой средой и некой обучающейся системой, то есть наличие обратной связи.</w:t>
      </w:r>
    </w:p>
    <w:p w14:paraId="334DA5B8" w14:textId="77777777" w:rsidR="00737E7D" w:rsidRDefault="00737E7D">
      <w:pPr>
        <w:spacing w:before="0"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4DB4542" w14:textId="77777777" w:rsidR="0075058B" w:rsidRPr="0078661E" w:rsidRDefault="0075058B" w:rsidP="0078661E">
      <w:pPr>
        <w:spacing w:line="360" w:lineRule="auto"/>
        <w:jc w:val="center"/>
        <w:rPr>
          <w:b/>
        </w:rPr>
      </w:pPr>
      <w:r w:rsidRPr="0078661E">
        <w:rPr>
          <w:b/>
        </w:rPr>
        <w:lastRenderedPageBreak/>
        <w:t>2.2.2 Постановка задачи</w:t>
      </w:r>
      <w:bookmarkEnd w:id="1"/>
    </w:p>
    <w:p w14:paraId="2AFCBE68" w14:textId="77777777" w:rsidR="0075058B" w:rsidRDefault="008A41D3" w:rsidP="00737E7D">
      <w:pPr>
        <w:spacing w:line="360" w:lineRule="auto"/>
        <w:ind w:firstLine="708"/>
      </w:pPr>
      <w:r>
        <w:t>Задачу обучения с подкреплением можно привести к математической модели. Рассмотрим, как она будет выглядеть в общем виде.</w:t>
      </w:r>
    </w:p>
    <w:p w14:paraId="3D2175EC" w14:textId="77777777" w:rsidR="00737E7D" w:rsidRDefault="008A41D3" w:rsidP="00737E7D">
      <w:pPr>
        <w:spacing w:line="360" w:lineRule="auto"/>
        <w:ind w:firstLine="708"/>
      </w:pPr>
      <w:r>
        <w:t xml:space="preserve">Пусть </w:t>
      </w:r>
      <w:r>
        <w:rPr>
          <w:lang w:val="en-US"/>
        </w:rPr>
        <w:t>S</w:t>
      </w:r>
      <w:r w:rsidRPr="008A41D3">
        <w:t xml:space="preserve"> – </w:t>
      </w:r>
      <w:r w:rsidR="00DF5C3E">
        <w:t>множе</w:t>
      </w:r>
      <w:r w:rsidR="000E708A">
        <w:t>ство всех принимаемых состояний, и оно конечно.</w:t>
      </w:r>
    </w:p>
    <w:p w14:paraId="47B5A5EB" w14:textId="77777777" w:rsidR="00DF5C3E" w:rsidRPr="0058046D" w:rsidRDefault="00DF5C3E" w:rsidP="00737E7D">
      <w:pPr>
        <w:spacing w:line="360" w:lineRule="auto"/>
        <w:ind w:firstLine="708"/>
      </w:pPr>
      <w:r>
        <w:t xml:space="preserve">В процессе обучения с подкреплением агент взаимодействует со средой. </w:t>
      </w:r>
      <w:r w:rsidR="00737E7D">
        <w:t>Другими словами, происходит игра между ними. Ниже приведен порядок действий в этой игре.</w:t>
      </w:r>
    </w:p>
    <w:p w14:paraId="1EAAF147" w14:textId="77777777" w:rsidR="003A0F67" w:rsidRPr="0058046D" w:rsidRDefault="00737E7D" w:rsidP="003A0F67">
      <w:pPr>
        <w:pStyle w:val="a3"/>
        <w:numPr>
          <w:ilvl w:val="0"/>
          <w:numId w:val="2"/>
        </w:numPr>
        <w:spacing w:line="360" w:lineRule="auto"/>
      </w:pPr>
      <w:r>
        <w:t xml:space="preserve">Инициализация стратегии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 w:rsidR="000E708A" w:rsidRPr="000E708A">
        <w:rPr>
          <w:rFonts w:eastAsiaTheme="minorEastAsia"/>
        </w:rPr>
        <w:t xml:space="preserve"> </w:t>
      </w:r>
      <w:r w:rsidR="000E708A">
        <w:rPr>
          <w:rFonts w:eastAsiaTheme="minorEastAsia"/>
        </w:rPr>
        <w:t xml:space="preserve">и состояния среды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EF70085" w14:textId="77777777" w:rsidR="0058046D" w:rsidRPr="0058046D" w:rsidRDefault="0058046D" w:rsidP="003A0F67">
      <w:pPr>
        <w:pStyle w:val="a3"/>
        <w:numPr>
          <w:ilvl w:val="0"/>
          <w:numId w:val="2"/>
        </w:numPr>
        <w:spacing w:line="360" w:lineRule="auto"/>
      </w:pPr>
      <w:r>
        <w:rPr>
          <w:rFonts w:eastAsiaTheme="minorEastAsia"/>
        </w:rPr>
        <w:t xml:space="preserve">Для каждого момента времени </w:t>
      </w:r>
      <m:oMath>
        <m:r>
          <w:rPr>
            <w:rFonts w:ascii="Cambria Math" w:eastAsiaTheme="minorEastAsia" w:hAnsi="Cambria Math"/>
          </w:rPr>
          <m:t>t=1, …,  T, …</m:t>
        </m:r>
      </m:oMath>
    </w:p>
    <w:p w14:paraId="04DBABFD" w14:textId="77777777" w:rsidR="0058046D" w:rsidRPr="0058046D" w:rsidRDefault="0058046D" w:rsidP="0058046D">
      <w:pPr>
        <w:pStyle w:val="a3"/>
        <w:numPr>
          <w:ilvl w:val="1"/>
          <w:numId w:val="2"/>
        </w:numPr>
        <w:spacing w:line="360" w:lineRule="auto"/>
      </w:pPr>
      <w:r>
        <w:rPr>
          <w:rFonts w:eastAsiaTheme="minorEastAsia"/>
        </w:rPr>
        <w:t xml:space="preserve">Агент выбирает действие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(a|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A61A8D4" w14:textId="77777777" w:rsidR="0058046D" w:rsidRPr="0058046D" w:rsidRDefault="0058046D" w:rsidP="0058046D">
      <w:pPr>
        <w:pStyle w:val="a3"/>
        <w:numPr>
          <w:ilvl w:val="1"/>
          <w:numId w:val="2"/>
        </w:numPr>
        <w:spacing w:line="360" w:lineRule="auto"/>
      </w:pPr>
      <w:r>
        <w:rPr>
          <w:rFonts w:eastAsiaTheme="minorEastAsia"/>
        </w:rPr>
        <w:t xml:space="preserve">Среда генерирует награду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 xml:space="preserve"> ~ p(r|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F96B565" w14:textId="77777777" w:rsidR="0058046D" w:rsidRPr="0058046D" w:rsidRDefault="0058046D" w:rsidP="0058046D">
      <w:pPr>
        <w:pStyle w:val="a3"/>
        <w:numPr>
          <w:ilvl w:val="1"/>
          <w:numId w:val="2"/>
        </w:numPr>
        <w:spacing w:line="360" w:lineRule="auto"/>
      </w:pPr>
      <w:r>
        <w:rPr>
          <w:rFonts w:eastAsiaTheme="minorEastAsia"/>
        </w:rPr>
        <w:t xml:space="preserve">Среда генерирует новое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 xml:space="preserve"> ~ p(s|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3B99838" w14:textId="77777777" w:rsidR="0058046D" w:rsidRDefault="0058046D" w:rsidP="0058046D">
      <w:pPr>
        <w:pStyle w:val="a3"/>
        <w:numPr>
          <w:ilvl w:val="1"/>
          <w:numId w:val="2"/>
        </w:numPr>
        <w:spacing w:line="360" w:lineRule="auto"/>
      </w:pPr>
      <w:r>
        <w:rPr>
          <w:rFonts w:eastAsiaTheme="minorEastAsia"/>
        </w:rPr>
        <w:t xml:space="preserve">Агент корректирует стратегию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Pr="00DF5C3E">
        <w:t>[</w:t>
      </w:r>
      <w:r>
        <w:t>43</w:t>
      </w:r>
      <w:r w:rsidRPr="00DF5C3E">
        <w:t>]</w:t>
      </w:r>
    </w:p>
    <w:p w14:paraId="22115C7C" w14:textId="77777777" w:rsidR="0058046D" w:rsidRPr="0058046D" w:rsidRDefault="0058046D" w:rsidP="0058046D">
      <w:pPr>
        <w:pStyle w:val="a3"/>
        <w:spacing w:line="360" w:lineRule="auto"/>
        <w:ind w:left="1788"/>
      </w:pPr>
    </w:p>
    <w:p w14:paraId="0F15C71C" w14:textId="77777777" w:rsidR="0086117C" w:rsidRPr="00FE46B9" w:rsidRDefault="0058046D" w:rsidP="0086117C">
      <w:pPr>
        <w:spacing w:line="360" w:lineRule="auto"/>
        <w:ind w:firstLine="708"/>
      </w:pPr>
      <w:r>
        <w:t>Эта игра будет называться марковским процессом принятия решений, если вероятность получения нового состояния и награды</w:t>
      </w:r>
      <w:r w:rsidR="0086117C">
        <w:t xml:space="preserve"> в нем зависит от текущего состо</w:t>
      </w:r>
      <w:r>
        <w:t>яния и действия, совершенного агентом.</w:t>
      </w:r>
      <w:r w:rsidR="0086117C">
        <w:t xml:space="preserve"> </w:t>
      </w:r>
      <w:r w:rsidR="0086117C" w:rsidRPr="00FE46B9">
        <w:t>[</w:t>
      </w:r>
      <w:commentRangeStart w:id="2"/>
      <w:r w:rsidR="0086117C" w:rsidRPr="00FE46B9">
        <w:t>44</w:t>
      </w:r>
      <w:commentRangeEnd w:id="2"/>
      <w:r w:rsidR="0086117C">
        <w:rPr>
          <w:rStyle w:val="a5"/>
        </w:rPr>
        <w:commentReference w:id="2"/>
      </w:r>
      <w:r w:rsidR="0086117C" w:rsidRPr="00FE46B9">
        <w:t>]</w:t>
      </w:r>
    </w:p>
    <w:p w14:paraId="4FE32363" w14:textId="77777777" w:rsidR="0028482E" w:rsidRDefault="00FE46B9" w:rsidP="0028482E">
      <w:pPr>
        <w:spacing w:line="360" w:lineRule="auto"/>
        <w:ind w:firstLine="708"/>
      </w:pPr>
      <w:r>
        <w:t>Так как нам важна максимизация в долгосрочном периоде, то это требуется учесть.</w:t>
      </w:r>
    </w:p>
    <w:p w14:paraId="0FDECFAB" w14:textId="091FAE10" w:rsidR="003F7653" w:rsidRDefault="00B477D5" w:rsidP="003F7653">
      <w:pPr>
        <w:tabs>
          <w:tab w:val="clear" w:pos="8505"/>
          <w:tab w:val="left" w:pos="709"/>
          <w:tab w:val="center" w:pos="4678"/>
          <w:tab w:val="right" w:pos="9355"/>
        </w:tabs>
        <w:rPr>
          <w:lang w:val="en-US"/>
        </w:rPr>
      </w:pPr>
      <w:r>
        <w:tab/>
      </w:r>
      <w:r w:rsidR="0028482E">
        <w:t>Суммарная награда</w:t>
      </w:r>
      <w:r w:rsidR="003F7653">
        <w:t>:</w:t>
      </w:r>
    </w:p>
    <w:p w14:paraId="5BCA9381" w14:textId="00E060EC" w:rsidR="00B477D5" w:rsidRPr="003F7653" w:rsidRDefault="00E90C49" w:rsidP="003F7653">
      <w:pPr>
        <w:tabs>
          <w:tab w:val="clear" w:pos="8505"/>
          <w:tab w:val="left" w:pos="709"/>
          <w:tab w:val="center" w:pos="4678"/>
          <w:tab w:val="right" w:pos="935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Style w:val="a5"/>
                </w:rPr>
                <w:commentReference w:id="3"/>
              </m:r>
            </m:sub>
          </m:sSub>
        </m:oMath>
      </m:oMathPara>
    </w:p>
    <w:p w14:paraId="0FA0DC30" w14:textId="2F66E412" w:rsidR="003F7653" w:rsidRDefault="003F7653" w:rsidP="003F7653">
      <w:pPr>
        <w:tabs>
          <w:tab w:val="clear" w:pos="8505"/>
          <w:tab w:val="left" w:pos="709"/>
          <w:tab w:val="center" w:pos="4678"/>
          <w:tab w:val="right" w:pos="9355"/>
        </w:tabs>
      </w:pPr>
      <w:r>
        <w:rPr>
          <w:lang w:val="en-US"/>
        </w:rPr>
        <w:tab/>
      </w:r>
      <w:r w:rsidR="00EB4239">
        <w:t>В общем случае суммарная награда является дисконтированной, т.е. формула (1) принимает вид:</w:t>
      </w:r>
    </w:p>
    <w:p w14:paraId="063F1697" w14:textId="2D68E693" w:rsidR="00EB4239" w:rsidRPr="003F7653" w:rsidRDefault="00E90C49" w:rsidP="00EB4239">
      <w:pPr>
        <w:tabs>
          <w:tab w:val="clear" w:pos="8505"/>
          <w:tab w:val="left" w:pos="709"/>
          <w:tab w:val="center" w:pos="4678"/>
          <w:tab w:val="right" w:pos="935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T-t-1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Style w:val="a5"/>
                </w:rPr>
                <w:commentReference w:id="4"/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19485059" w14:textId="7D96444E" w:rsidR="00EB4239" w:rsidRDefault="00EB4239" w:rsidP="003F7653">
      <w:pPr>
        <w:tabs>
          <w:tab w:val="clear" w:pos="8505"/>
          <w:tab w:val="left" w:pos="709"/>
          <w:tab w:val="center" w:pos="4678"/>
          <w:tab w:val="right" w:pos="9355"/>
        </w:tabs>
        <w:rPr>
          <w:rFonts w:eastAsiaTheme="minorEastAsia"/>
        </w:rPr>
      </w:pPr>
      <w:r>
        <w:t xml:space="preserve">где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hAnsi="Cambria Math"/>
          </w:rPr>
          <m:t>≤γ≤1</m:t>
        </m:r>
      </m:oMath>
      <w:r>
        <w:rPr>
          <w:rFonts w:eastAsiaTheme="minorEastAsia"/>
        </w:rPr>
        <w:t xml:space="preserve"> – коэффициент дисконтирования. Этот коэффициент был введен для того, чтобы обеспечить конечность суммы будущих наград, но он так же </w:t>
      </w:r>
      <w:r>
        <w:rPr>
          <w:rFonts w:eastAsiaTheme="minorEastAsia"/>
        </w:rPr>
        <w:lastRenderedPageBreak/>
        <w:t xml:space="preserve">показывает, что люди и животные предпочитают ранние награды поздним. </w:t>
      </w:r>
      <w:r w:rsidRPr="003B737B">
        <w:rPr>
          <w:rFonts w:eastAsiaTheme="minorEastAsia"/>
        </w:rPr>
        <w:t>[29]</w:t>
      </w:r>
      <w:r w:rsidR="003B737B" w:rsidRPr="003B737B">
        <w:rPr>
          <w:rFonts w:eastAsiaTheme="minorEastAsia"/>
        </w:rPr>
        <w:t xml:space="preserve"> </w:t>
      </w:r>
      <w:r w:rsidR="003B737B">
        <w:rPr>
          <w:rFonts w:eastAsiaTheme="minorEastAsia"/>
        </w:rPr>
        <w:t xml:space="preserve">Другими словами, чем больше </w:t>
      </w:r>
      <m:oMath>
        <m:r>
          <w:rPr>
            <w:rFonts w:ascii="Cambria Math" w:hAnsi="Cambria Math"/>
          </w:rPr>
          <m:t>γ,</m:t>
        </m:r>
      </m:oMath>
      <w:r w:rsidR="003B737B">
        <w:rPr>
          <w:rFonts w:eastAsiaTheme="minorEastAsia"/>
        </w:rPr>
        <w:t xml:space="preserve"> тем агент будет более дальновидным.</w:t>
      </w:r>
    </w:p>
    <w:p w14:paraId="5EF29201" w14:textId="36AB1333" w:rsidR="006E04FA" w:rsidRDefault="006E04FA" w:rsidP="003F7653">
      <w:pPr>
        <w:tabs>
          <w:tab w:val="clear" w:pos="8505"/>
          <w:tab w:val="left" w:pos="709"/>
          <w:tab w:val="center" w:pos="4678"/>
          <w:tab w:val="right" w:pos="9355"/>
        </w:tabs>
        <w:rPr>
          <w:noProof/>
          <w:lang w:eastAsia="ru-RU"/>
        </w:rPr>
      </w:pPr>
      <w:r>
        <w:rPr>
          <w:noProof/>
          <w:lang w:eastAsia="ru-RU"/>
        </w:rPr>
        <w:tab/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rPr>
          <w:rFonts w:eastAsiaTheme="minorEastAsia"/>
          <w:noProof/>
        </w:rPr>
        <w:t xml:space="preserve"> – математическое ожидание при условии, что агент придерживается стратегии </w:t>
      </w:r>
      <w:r>
        <w:rPr>
          <w:rFonts w:eastAsiaTheme="minorEastAsia" w:cs="Times New Roman"/>
          <w:noProof/>
        </w:rPr>
        <w:t>π</w:t>
      </w:r>
      <w:r w:rsidR="00CB5FFA">
        <w:rPr>
          <w:rFonts w:eastAsiaTheme="minorEastAsia"/>
          <w:noProof/>
        </w:rPr>
        <w:t>, то</w:t>
      </w:r>
      <w:r w:rsidR="00E90C49" w:rsidRPr="00E90C49">
        <w:rPr>
          <w:rFonts w:eastAsiaTheme="minorEastAsia"/>
          <w:noProof/>
        </w:rPr>
        <w:t xml:space="preserve"> [43]</w:t>
      </w:r>
      <w:r w:rsidR="00CB5FFA">
        <w:rPr>
          <w:rFonts w:eastAsiaTheme="minorEastAsia"/>
          <w:noProof/>
        </w:rPr>
        <w:t>:</w:t>
      </w:r>
    </w:p>
    <w:p w14:paraId="17503C59" w14:textId="3303F4ED" w:rsidR="00EB4239" w:rsidRPr="006E04FA" w:rsidRDefault="003B737B" w:rsidP="003F7653">
      <w:pPr>
        <w:tabs>
          <w:tab w:val="clear" w:pos="8505"/>
          <w:tab w:val="left" w:pos="709"/>
          <w:tab w:val="center" w:pos="4678"/>
          <w:tab w:val="right" w:pos="9355"/>
        </w:tabs>
      </w:pPr>
      <w:r>
        <w:tab/>
      </w:r>
      <w:r w:rsidR="006E04FA">
        <w:t xml:space="preserve">Функция ценности состояния </w:t>
      </w:r>
      <m:oMath>
        <m:r>
          <w:rPr>
            <w:rFonts w:ascii="Cambria Math" w:hAnsi="Cambria Math"/>
          </w:rPr>
          <m:t>s</m:t>
        </m:r>
      </m:oMath>
      <w:r w:rsidR="006E04FA" w:rsidRPr="006E04FA">
        <w:rPr>
          <w:rFonts w:eastAsiaTheme="minorEastAsia"/>
        </w:rPr>
        <w:t xml:space="preserve"> </w:t>
      </w:r>
      <w:r w:rsidR="006E04FA">
        <w:rPr>
          <w:rFonts w:eastAsiaTheme="minorEastAsia"/>
        </w:rPr>
        <w:t xml:space="preserve">при стратегии </w:t>
      </w:r>
      <m:oMath>
        <m:r>
          <w:rPr>
            <w:rFonts w:ascii="Cambria Math" w:eastAsiaTheme="minorEastAsia" w:hAnsi="Cambria Math"/>
          </w:rPr>
          <m:t>π</m:t>
        </m:r>
      </m:oMath>
      <w:r w:rsidR="006E04FA">
        <w:rPr>
          <w:rFonts w:eastAsiaTheme="minorEastAsia"/>
        </w:rPr>
        <w:t>:</w:t>
      </w:r>
    </w:p>
    <w:p w14:paraId="565A7289" w14:textId="25305DDE" w:rsidR="006E04FA" w:rsidRPr="006E04FA" w:rsidRDefault="00E90C49" w:rsidP="003F7653">
      <w:pPr>
        <w:tabs>
          <w:tab w:val="clear" w:pos="8505"/>
          <w:tab w:val="left" w:pos="709"/>
          <w:tab w:val="center" w:pos="4678"/>
          <w:tab w:val="right" w:pos="9355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(s)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=s</m:t>
          </m:r>
          <m:r>
            <m:rPr>
              <m:sty m:val="p"/>
            </m:rPr>
            <w:rPr>
              <w:rStyle w:val="a5"/>
            </w:rPr>
            <w:commentReference w:id="5"/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4B8DCC70" w14:textId="36EC3A7F" w:rsidR="006E04FA" w:rsidRDefault="006E04FA" w:rsidP="003F7653">
      <w:pPr>
        <w:tabs>
          <w:tab w:val="clear" w:pos="8505"/>
          <w:tab w:val="left" w:pos="709"/>
          <w:tab w:val="center" w:pos="4678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  <w:t>Функция ценности дейст</w:t>
      </w:r>
      <w:r w:rsidR="00CB5FFA">
        <w:rPr>
          <w:rFonts w:eastAsiaTheme="minorEastAsia"/>
        </w:rPr>
        <w:t xml:space="preserve">вия </w:t>
      </w:r>
      <m:oMath>
        <m:r>
          <w:rPr>
            <w:rFonts w:ascii="Cambria Math" w:eastAsiaTheme="minorEastAsia" w:hAnsi="Cambria Math"/>
          </w:rPr>
          <m:t>a</m:t>
        </m:r>
      </m:oMath>
      <w:r w:rsidR="004F3AD2" w:rsidRPr="004F3AD2">
        <w:rPr>
          <w:rFonts w:eastAsiaTheme="minorEastAsia"/>
        </w:rPr>
        <w:t xml:space="preserve"> </w:t>
      </w:r>
      <w:r w:rsidR="004F3AD2">
        <w:rPr>
          <w:rFonts w:eastAsiaTheme="minorEastAsia"/>
        </w:rPr>
        <w:t xml:space="preserve">в </w:t>
      </w:r>
      <w:r w:rsidR="004F3AD2">
        <w:t>состояни</w:t>
      </w:r>
      <w:r w:rsidR="004F3AD2" w:rsidRPr="004F3AD2">
        <w:t>и</w:t>
      </w:r>
      <w:r w:rsidR="004F3AD2">
        <w:t xml:space="preserve"> </w:t>
      </w:r>
      <m:oMath>
        <m:r>
          <w:rPr>
            <w:rFonts w:ascii="Cambria Math" w:hAnsi="Cambria Math"/>
          </w:rPr>
          <m:t>s</m:t>
        </m:r>
      </m:oMath>
      <w:r w:rsidR="004F3AD2" w:rsidRPr="006E04FA">
        <w:rPr>
          <w:rFonts w:eastAsiaTheme="minorEastAsia"/>
        </w:rPr>
        <w:t xml:space="preserve"> </w:t>
      </w:r>
      <w:r w:rsidR="004F3AD2">
        <w:rPr>
          <w:rFonts w:eastAsiaTheme="minorEastAsia"/>
        </w:rPr>
        <w:t xml:space="preserve">при стратегии </w:t>
      </w:r>
      <m:oMath>
        <m:r>
          <w:rPr>
            <w:rFonts w:ascii="Cambria Math" w:eastAsiaTheme="minorEastAsia" w:hAnsi="Cambria Math"/>
          </w:rPr>
          <m:t>π</m:t>
        </m:r>
      </m:oMath>
      <w:r w:rsidR="004F3AD2">
        <w:rPr>
          <w:rFonts w:eastAsiaTheme="minorEastAsia"/>
        </w:rPr>
        <w:t>:</w:t>
      </w:r>
    </w:p>
    <w:p w14:paraId="1F8CFC8F" w14:textId="2A95648C" w:rsidR="004F3AD2" w:rsidRPr="00E90C49" w:rsidRDefault="00E90C49" w:rsidP="003F7653">
      <w:pPr>
        <w:tabs>
          <w:tab w:val="clear" w:pos="8505"/>
          <w:tab w:val="left" w:pos="709"/>
          <w:tab w:val="center" w:pos="4678"/>
          <w:tab w:val="right" w:pos="9355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(s, a)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=s,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Style w:val="a5"/>
            </w:rPr>
            <w:commentReference w:id="6"/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1D2A649C" w14:textId="07B2B248" w:rsidR="004F3AD2" w:rsidRPr="004F3AD2" w:rsidRDefault="004F3AD2" w:rsidP="004F3AD2">
      <w:pPr>
        <w:tabs>
          <w:tab w:val="clear" w:pos="8505"/>
          <w:tab w:val="left" w:pos="709"/>
          <w:tab w:val="center" w:pos="4678"/>
          <w:tab w:val="right" w:pos="9355"/>
        </w:tabs>
        <w:ind w:firstLine="708"/>
      </w:pPr>
      <w:r>
        <w:rPr>
          <w:rFonts w:eastAsiaTheme="minorEastAsia"/>
        </w:rPr>
        <w:t xml:space="preserve">Таким образом, задача состоит в том, чтобы найти такую стратегию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, при которой суммарная награда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будет максимальна.</w:t>
      </w:r>
      <w:bookmarkStart w:id="7" w:name="_GoBack"/>
      <w:bookmarkEnd w:id="7"/>
    </w:p>
    <w:sectPr w:rsidR="004F3AD2" w:rsidRPr="004F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Eugenia" w:date="2016-06-10T11:29:00Z" w:initials="E">
    <w:p w14:paraId="6FCC367E" w14:textId="77777777" w:rsidR="0086117C" w:rsidRDefault="0086117C">
      <w:pPr>
        <w:pStyle w:val="a6"/>
      </w:pPr>
      <w:r>
        <w:rPr>
          <w:rStyle w:val="a5"/>
        </w:rPr>
        <w:annotationRef/>
      </w:r>
      <w:r>
        <w:t>Можно написать про лифт</w:t>
      </w:r>
    </w:p>
  </w:comment>
  <w:comment w:id="3" w:author="Eugenia" w:date="2016-06-10T12:41:00Z" w:initials="E">
    <w:p w14:paraId="7A61C15A" w14:textId="7C1147A3" w:rsidR="00EB4239" w:rsidRPr="00EB4239" w:rsidRDefault="00EB4239">
      <w:pPr>
        <w:pStyle w:val="a6"/>
      </w:pPr>
      <w:r>
        <w:rPr>
          <w:rStyle w:val="a5"/>
        </w:rPr>
        <w:annotationRef/>
      </w:r>
      <w:r>
        <w:t>Формула 1</w:t>
      </w:r>
    </w:p>
  </w:comment>
  <w:comment w:id="4" w:author="Eugenia" w:date="2016-06-10T12:42:00Z" w:initials="E">
    <w:p w14:paraId="3DF63798" w14:textId="26C1DD12" w:rsidR="00EB4239" w:rsidRDefault="00EB4239">
      <w:pPr>
        <w:pStyle w:val="a6"/>
      </w:pPr>
      <w:r>
        <w:rPr>
          <w:rStyle w:val="a5"/>
        </w:rPr>
        <w:annotationRef/>
      </w:r>
      <w:r>
        <w:t>Формула 2</w:t>
      </w:r>
    </w:p>
  </w:comment>
  <w:comment w:id="5" w:author="Eugenia" w:date="2016-06-10T13:00:00Z" w:initials="E">
    <w:p w14:paraId="4AC322AD" w14:textId="0010EFB5" w:rsidR="004F3AD2" w:rsidRPr="004F3AD2" w:rsidRDefault="004F3AD2">
      <w:pPr>
        <w:pStyle w:val="a6"/>
      </w:pPr>
      <w:r>
        <w:rPr>
          <w:rStyle w:val="a5"/>
        </w:rPr>
        <w:annotationRef/>
      </w:r>
      <w:r>
        <w:t>Формула 3</w:t>
      </w:r>
    </w:p>
  </w:comment>
  <w:comment w:id="6" w:author="Eugenia" w:date="2016-06-10T13:00:00Z" w:initials="E">
    <w:p w14:paraId="24C8B0CC" w14:textId="0FDF67E0" w:rsidR="004F3AD2" w:rsidRDefault="004F3AD2">
      <w:pPr>
        <w:pStyle w:val="a6"/>
      </w:pPr>
      <w:r>
        <w:rPr>
          <w:rStyle w:val="a5"/>
        </w:rPr>
        <w:annotationRef/>
      </w:r>
      <w:r>
        <w:t>Формула 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CC367E" w15:done="0"/>
  <w15:commentEx w15:paraId="7A61C15A" w15:done="0"/>
  <w15:commentEx w15:paraId="3DF63798" w15:done="0"/>
  <w15:commentEx w15:paraId="4AC322AD" w15:done="0"/>
  <w15:commentEx w15:paraId="24C8B0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A8F"/>
    <w:multiLevelType w:val="hybridMultilevel"/>
    <w:tmpl w:val="97A8A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628F"/>
    <w:multiLevelType w:val="hybridMultilevel"/>
    <w:tmpl w:val="FE92D296"/>
    <w:lvl w:ilvl="0" w:tplc="61E051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ugenia">
    <w15:presenceInfo w15:providerId="None" w15:userId="Eugen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25"/>
    <w:rsid w:val="000E708A"/>
    <w:rsid w:val="000F4E09"/>
    <w:rsid w:val="0025624D"/>
    <w:rsid w:val="0028482E"/>
    <w:rsid w:val="002D6097"/>
    <w:rsid w:val="003A0F67"/>
    <w:rsid w:val="003B737B"/>
    <w:rsid w:val="003F7653"/>
    <w:rsid w:val="004A4BB6"/>
    <w:rsid w:val="004E7125"/>
    <w:rsid w:val="004F3AD2"/>
    <w:rsid w:val="005004CA"/>
    <w:rsid w:val="0058046D"/>
    <w:rsid w:val="006E04FA"/>
    <w:rsid w:val="00737E7D"/>
    <w:rsid w:val="0075058B"/>
    <w:rsid w:val="00754E59"/>
    <w:rsid w:val="00757B50"/>
    <w:rsid w:val="0078661E"/>
    <w:rsid w:val="007B52B3"/>
    <w:rsid w:val="00802FE1"/>
    <w:rsid w:val="0086117C"/>
    <w:rsid w:val="008A41D3"/>
    <w:rsid w:val="008F0353"/>
    <w:rsid w:val="009150A2"/>
    <w:rsid w:val="009824E0"/>
    <w:rsid w:val="00A92422"/>
    <w:rsid w:val="00B477D5"/>
    <w:rsid w:val="00BE346D"/>
    <w:rsid w:val="00C06E15"/>
    <w:rsid w:val="00C96AEC"/>
    <w:rsid w:val="00CB5FFA"/>
    <w:rsid w:val="00D144F0"/>
    <w:rsid w:val="00D75A2B"/>
    <w:rsid w:val="00DA6ABF"/>
    <w:rsid w:val="00DF5C3E"/>
    <w:rsid w:val="00E30CA3"/>
    <w:rsid w:val="00E90C49"/>
    <w:rsid w:val="00EB4239"/>
    <w:rsid w:val="00FA2431"/>
    <w:rsid w:val="00FE46B9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D9CA"/>
  <w15:chartTrackingRefBased/>
  <w15:docId w15:val="{5B3CF908-2AC9-4F44-98EF-5C3667CC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2B3"/>
    <w:pPr>
      <w:tabs>
        <w:tab w:val="left" w:pos="4678"/>
        <w:tab w:val="right" w:pos="8505"/>
      </w:tabs>
      <w:spacing w:before="240" w:after="240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5058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058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A924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E708A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86117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6117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6117C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117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6117C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6117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6117C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FE46B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BE3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6716D-C3B7-45E1-AC1C-D031F2B67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21</cp:revision>
  <dcterms:created xsi:type="dcterms:W3CDTF">2016-06-08T10:21:00Z</dcterms:created>
  <dcterms:modified xsi:type="dcterms:W3CDTF">2016-06-10T10:13:00Z</dcterms:modified>
</cp:coreProperties>
</file>