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E762" w14:textId="77777777" w:rsidR="007E3DE6" w:rsidRDefault="00000000">
      <w:pPr>
        <w:jc w:val="center"/>
      </w:pPr>
      <w:r>
        <w:rPr>
          <w:rFonts w:ascii="Times New Roman" w:eastAsia="Times New Roman" w:hAnsi="Times New Roman"/>
          <w:b/>
          <w:sz w:val="34"/>
        </w:rPr>
        <w:t>PLC Based Multi Sensor Condition Monitoring of Industrial Motors for Industrial Transformation</w:t>
      </w:r>
    </w:p>
    <w:p w14:paraId="34AE7F02" w14:textId="77777777" w:rsidR="007E3DE6" w:rsidRDefault="00000000">
      <w:pPr>
        <w:jc w:val="center"/>
      </w:pPr>
      <w:r>
        <w:rPr>
          <w:rFonts w:ascii="Times New Roman" w:eastAsia="Times New Roman" w:hAnsi="Times New Roman"/>
          <w:sz w:val="24"/>
        </w:rPr>
        <w:t>TAKUNDA PAMBAYI</w:t>
      </w:r>
      <w:r>
        <w:rPr>
          <w:rFonts w:ascii="Times New Roman" w:eastAsia="Times New Roman" w:hAnsi="Times New Roman"/>
          <w:sz w:val="24"/>
          <w:vertAlign w:val="superscript"/>
        </w:rPr>
        <w:t>*</w:t>
      </w:r>
      <w:r>
        <w:rPr>
          <w:rFonts w:ascii="Times New Roman" w:eastAsia="Times New Roman" w:hAnsi="Times New Roman"/>
          <w:sz w:val="24"/>
        </w:rPr>
        <w:t xml:space="preserve"> and ENG TANAKA D DZAPASI</w:t>
      </w:r>
      <w:r>
        <w:rPr>
          <w:rFonts w:ascii="Times New Roman" w:eastAsia="Times New Roman" w:hAnsi="Times New Roman"/>
          <w:sz w:val="24"/>
          <w:vertAlign w:val="superscript"/>
        </w:rPr>
        <w:t>**</w:t>
      </w:r>
    </w:p>
    <w:p w14:paraId="254B327D" w14:textId="77777777" w:rsidR="007E3DE6" w:rsidRDefault="00000000">
      <w:pPr>
        <w:jc w:val="center"/>
      </w:pPr>
      <w:r>
        <w:rPr>
          <w:rFonts w:ascii="Times New Roman" w:eastAsia="Times New Roman" w:hAnsi="Times New Roman"/>
          <w:sz w:val="20"/>
        </w:rPr>
        <w:t>Harare Institute of Technology, Harare, Zimbabwe</w:t>
      </w:r>
    </w:p>
    <w:p w14:paraId="50DCB92E" w14:textId="77777777" w:rsidR="007E3DE6" w:rsidRPr="00CB7443" w:rsidRDefault="00000000">
      <w:pPr>
        <w:jc w:val="both"/>
        <w:rPr>
          <w:rFonts w:ascii="Times New Roman" w:hAnsi="Times New Roman" w:cs="Times New Roman"/>
          <w:sz w:val="24"/>
          <w:szCs w:val="24"/>
        </w:rPr>
      </w:pPr>
      <w:r w:rsidRPr="00CB7443">
        <w:rPr>
          <w:rFonts w:ascii="Times New Roman" w:eastAsia="Times New Roman" w:hAnsi="Times New Roman" w:cs="Times New Roman"/>
          <w:b/>
          <w:sz w:val="24"/>
          <w:szCs w:val="24"/>
        </w:rPr>
        <w:t xml:space="preserve">Abstract. </w:t>
      </w:r>
      <w:r w:rsidRPr="00CB7443">
        <w:rPr>
          <w:rFonts w:ascii="Times New Roman" w:eastAsia="Times New Roman" w:hAnsi="Times New Roman" w:cs="Times New Roman"/>
          <w:sz w:val="24"/>
          <w:szCs w:val="24"/>
        </w:rPr>
        <w:t>Industrial motors drive pumps, compressors, fans and conveyors. Unexpected failure stops production. This paper presents a practical condition monitoring framework that uses a programmable logic controller to combine motor electrical current and mechanical vibration. Time and frequency domain features are fused to classify normal, warning and critical states. The work suits plants that already have PLC infrastructure and need an affordable step from preventive to condition based maintenance.</w:t>
      </w:r>
    </w:p>
    <w:p w14:paraId="3EB8F666" w14:textId="77777777" w:rsidR="007E3DE6" w:rsidRPr="00CB7443" w:rsidRDefault="00000000">
      <w:pPr>
        <w:jc w:val="both"/>
        <w:rPr>
          <w:rFonts w:ascii="Times New Roman" w:hAnsi="Times New Roman" w:cs="Times New Roman"/>
          <w:sz w:val="24"/>
          <w:szCs w:val="24"/>
        </w:rPr>
      </w:pPr>
      <w:r w:rsidRPr="00CB7443">
        <w:rPr>
          <w:rFonts w:ascii="Times New Roman" w:eastAsia="Times New Roman" w:hAnsi="Times New Roman" w:cs="Times New Roman"/>
          <w:b/>
          <w:sz w:val="24"/>
          <w:szCs w:val="24"/>
        </w:rPr>
        <w:t xml:space="preserve">Key words: </w:t>
      </w:r>
      <w:r w:rsidRPr="00CB7443">
        <w:rPr>
          <w:rFonts w:ascii="Times New Roman" w:eastAsia="Times New Roman" w:hAnsi="Times New Roman" w:cs="Times New Roman"/>
          <w:sz w:val="24"/>
          <w:szCs w:val="24"/>
        </w:rPr>
        <w:t>PLC, condition monitoring, induction motor, multi sensor fusion, predictive maintenance.</w:t>
      </w:r>
    </w:p>
    <w:p w14:paraId="58D174FB" w14:textId="77777777" w:rsidR="007E3DE6" w:rsidRPr="00CB7443" w:rsidRDefault="00000000">
      <w:pPr>
        <w:jc w:val="both"/>
        <w:rPr>
          <w:rFonts w:ascii="Times New Roman" w:hAnsi="Times New Roman" w:cs="Times New Roman"/>
          <w:sz w:val="24"/>
          <w:szCs w:val="24"/>
        </w:rPr>
      </w:pPr>
      <w:r w:rsidRPr="00CB7443">
        <w:rPr>
          <w:rFonts w:ascii="Times New Roman" w:eastAsia="Times New Roman" w:hAnsi="Times New Roman" w:cs="Times New Roman"/>
          <w:b/>
          <w:sz w:val="24"/>
          <w:szCs w:val="24"/>
        </w:rPr>
        <w:t xml:space="preserve">Address for correspondence: </w:t>
      </w:r>
      <w:r w:rsidRPr="00CB7443">
        <w:rPr>
          <w:rFonts w:ascii="Times New Roman" w:eastAsia="Times New Roman" w:hAnsi="Times New Roman" w:cs="Times New Roman"/>
          <w:sz w:val="24"/>
          <w:szCs w:val="24"/>
        </w:rPr>
        <w:t>Takunda Pambayi, Harare Institute of Technology, Ganges Road, Harare, Zimbabwe; e-mail: tpambayi@hit.ac.zw</w:t>
      </w:r>
    </w:p>
    <w:p w14:paraId="7681976C" w14:textId="77777777" w:rsidR="007E3DE6" w:rsidRPr="00CB7443" w:rsidRDefault="007E3DE6">
      <w:pPr>
        <w:rPr>
          <w:rFonts w:ascii="Times New Roman" w:hAnsi="Times New Roman" w:cs="Times New Roman"/>
          <w:sz w:val="24"/>
          <w:szCs w:val="24"/>
        </w:rPr>
        <w:sectPr w:rsidR="007E3DE6" w:rsidRPr="00CB7443">
          <w:pgSz w:w="12240" w:h="15840"/>
          <w:pgMar w:top="1417" w:right="1134" w:bottom="1701" w:left="1701" w:header="720" w:footer="720" w:gutter="0"/>
          <w:cols w:space="720"/>
          <w:docGrid w:linePitch="360"/>
        </w:sectPr>
      </w:pPr>
    </w:p>
    <w:p w14:paraId="649B0D0F"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Introduction</w:t>
      </w:r>
    </w:p>
    <w:p w14:paraId="2B50D7FC"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Electric motors keep factories moving. When one fails, an entire process line can stop. Conventional maintenance often runs on fixed calendars or waits for visible trouble. Both approaches miss early signs and can waste spare parts.</w:t>
      </w:r>
    </w:p>
    <w:p w14:paraId="577AA8BA"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Condition based maintenance uses live measurements to decide when attention is needed. Current can be measured without touching the rotating shaft (Benbouzid, 2000). Vibration gives direct evidence of mechanical wear, imbalance and looseness (Gangsar and Tiwari, 2020). Many plants already use programmable logic controllers for motor control, so adding condition logic to the same PLC keeps monitoring affordable.</w:t>
      </w:r>
    </w:p>
    <w:p w14:paraId="17A7BAAB"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This paper proposes a PLC based multi sensor system for industrial induction </w:t>
      </w:r>
      <w:r w:rsidRPr="00CB7443">
        <w:rPr>
          <w:rFonts w:ascii="Times New Roman" w:eastAsia="Times New Roman" w:hAnsi="Times New Roman" w:cs="Times New Roman"/>
          <w:sz w:val="24"/>
          <w:szCs w:val="24"/>
        </w:rPr>
        <w:t>motors. It combines electrical current and vibration evidence to detect abnormal states early.</w:t>
      </w:r>
    </w:p>
    <w:p w14:paraId="18B0F675"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Related Work and Research Gap</w:t>
      </w:r>
    </w:p>
    <w:p w14:paraId="57EBB328"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Motor current signature analysis identifies abnormal patterns in stator current spectra (Benbouzid, 2000). Vibration analysis captures bearing defects, misalignment and looseness (Gangsar and Tiwari, 2020). Yang and Kim (2006) showed that combining the two signals improves fault decisions. Recent work has extended these methods to variable speed drives (Niu, 2023; Yakhni et al., 2023). Many advanced systems, however, still need specialist hardware or machine learning platforms that smaller factories cannot afford. The gap is a transparent, PLC centred method that fits existing control infrastructure.</w:t>
      </w:r>
    </w:p>
    <w:p w14:paraId="0844D868"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lastRenderedPageBreak/>
        <w:t>Proposed System Architecture</w:t>
      </w:r>
    </w:p>
    <w:p w14:paraId="542EBD36"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The system has five layers: sensing, signal conditioning, feature extraction, PLC decision and HMI visualization. Current transformers and accelerometers collect signals. Filters and isolators condition them. The PLC compares extracted features against thresholds and fuses them. Sensor mounting matters; the accelerometer should sit near the bearing in a fixed radial direction, and operating speed, load and sampling settings must be logged (ISO, 2016).</w:t>
      </w:r>
    </w:p>
    <w:p w14:paraId="201D99A2"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493CCE17" wp14:editId="3CBB1FCC">
            <wp:extent cx="2011680" cy="26033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2011680" cy="2603351"/>
                    </a:xfrm>
                    <a:prstGeom prst="rect">
                      <a:avLst/>
                    </a:prstGeom>
                  </pic:spPr>
                </pic:pic>
              </a:graphicData>
            </a:graphic>
          </wp:inline>
        </w:drawing>
      </w:r>
    </w:p>
    <w:p w14:paraId="2A9BAD9A" w14:textId="77777777" w:rsidR="007E3DE6" w:rsidRPr="00CB7443" w:rsidRDefault="00000000">
      <w:pPr>
        <w:jc w:val="center"/>
        <w:rPr>
          <w:rFonts w:ascii="Times New Roman" w:hAnsi="Times New Roman" w:cs="Times New Roman"/>
          <w:sz w:val="24"/>
          <w:szCs w:val="24"/>
        </w:rPr>
      </w:pPr>
      <w:r w:rsidRPr="00CB7443">
        <w:rPr>
          <w:rFonts w:ascii="Times New Roman" w:eastAsia="Times New Roman" w:hAnsi="Times New Roman" w:cs="Times New Roman"/>
          <w:sz w:val="24"/>
          <w:szCs w:val="24"/>
        </w:rPr>
        <w:t>Figure 1. Proposed PLC based multi sensor monitoring architecture.</w:t>
      </w:r>
    </w:p>
    <w:p w14:paraId="315FA6F1"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Signal Processing and Fusion</w:t>
      </w:r>
    </w:p>
    <w:p w14:paraId="3D9435A8"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For a sampled current window of N samples, the RMS current is</w:t>
      </w:r>
    </w:p>
    <w:p w14:paraId="79DB3A28"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71BFADF9" wp14:editId="618213A1">
            <wp:extent cx="1828800" cy="254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9"/>
                    <a:stretch>
                      <a:fillRect/>
                    </a:stretch>
                  </pic:blipFill>
                  <pic:spPr>
                    <a:xfrm>
                      <a:off x="0" y="0"/>
                      <a:ext cx="1828800" cy="254107"/>
                    </a:xfrm>
                    <a:prstGeom prst="rect">
                      <a:avLst/>
                    </a:prstGeom>
                  </pic:spPr>
                </pic:pic>
              </a:graphicData>
            </a:graphic>
          </wp:inline>
        </w:drawing>
      </w:r>
    </w:p>
    <w:p w14:paraId="6A52FF59"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Three phase imbalance is the largest phase deviation from the average current divided by the average. Vibration RMS is </w:t>
      </w:r>
      <w:r w:rsidRPr="00CB7443">
        <w:rPr>
          <w:rFonts w:ascii="Times New Roman" w:eastAsia="Times New Roman" w:hAnsi="Times New Roman" w:cs="Times New Roman"/>
          <w:sz w:val="24"/>
          <w:szCs w:val="24"/>
        </w:rPr>
        <w:t>computed similarly, while crest factor links peak acceleration to RMS vibration:</w:t>
      </w:r>
    </w:p>
    <w:p w14:paraId="0D1AEC0D"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5637F029" wp14:editId="3B054B95">
            <wp:extent cx="1645920" cy="168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0"/>
                    <a:stretch>
                      <a:fillRect/>
                    </a:stretch>
                  </pic:blipFill>
                  <pic:spPr>
                    <a:xfrm>
                      <a:off x="0" y="0"/>
                      <a:ext cx="1645920" cy="168057"/>
                    </a:xfrm>
                    <a:prstGeom prst="rect">
                      <a:avLst/>
                    </a:prstGeom>
                  </pic:spPr>
                </pic:pic>
              </a:graphicData>
            </a:graphic>
          </wp:inline>
        </w:drawing>
      </w:r>
    </w:p>
    <w:p w14:paraId="5CDE65B8"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Spectral features come from the Fast Fourier Transform, with bin spacing delta f = F_s / N.</w:t>
      </w:r>
    </w:p>
    <w:p w14:paraId="5AF12A1F"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Each feature is normalised against a healthy baseline. The electrical indicator C and vibration indicator V are clipped to [0,1]. A weighted fusion score then combines them:</w:t>
      </w:r>
    </w:p>
    <w:p w14:paraId="70E9BEC6"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5531622D" wp14:editId="62904A63">
            <wp:extent cx="1828800" cy="186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1"/>
                    <a:stretch>
                      <a:fillRect/>
                    </a:stretch>
                  </pic:blipFill>
                  <pic:spPr>
                    <a:xfrm>
                      <a:off x="0" y="0"/>
                      <a:ext cx="1828800" cy="186730"/>
                    </a:xfrm>
                    <a:prstGeom prst="rect">
                      <a:avLst/>
                    </a:prstGeom>
                  </pic:spPr>
                </pic:pic>
              </a:graphicData>
            </a:graphic>
          </wp:inline>
        </w:drawing>
      </w:r>
    </w:p>
    <w:p w14:paraId="5248B820"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If C = 0.65, V = 0.85, w_c = 0.40 and w_v = 0.60, then S = 0.77, which falls in the warning band when warning and critical thresholds are 0.60 and 0.80.</w:t>
      </w:r>
    </w:p>
    <w:p w14:paraId="4ACC89C0"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5482A356" wp14:editId="32C0FF3F">
            <wp:extent cx="2743200" cy="107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2"/>
                    <a:stretch>
                      <a:fillRect/>
                    </a:stretch>
                  </pic:blipFill>
                  <pic:spPr>
                    <a:xfrm>
                      <a:off x="0" y="0"/>
                      <a:ext cx="2743200" cy="1072400"/>
                    </a:xfrm>
                    <a:prstGeom prst="rect">
                      <a:avLst/>
                    </a:prstGeom>
                  </pic:spPr>
                </pic:pic>
              </a:graphicData>
            </a:graphic>
          </wp:inline>
        </w:drawing>
      </w:r>
    </w:p>
    <w:p w14:paraId="23CD7AB2" w14:textId="77777777" w:rsidR="007E3DE6" w:rsidRPr="00CB7443" w:rsidRDefault="00000000">
      <w:pPr>
        <w:jc w:val="center"/>
        <w:rPr>
          <w:rFonts w:ascii="Times New Roman" w:hAnsi="Times New Roman" w:cs="Times New Roman"/>
          <w:sz w:val="24"/>
          <w:szCs w:val="24"/>
        </w:rPr>
      </w:pPr>
      <w:r w:rsidRPr="00CB7443">
        <w:rPr>
          <w:rFonts w:ascii="Times New Roman" w:eastAsia="Times New Roman" w:hAnsi="Times New Roman" w:cs="Times New Roman"/>
          <w:sz w:val="24"/>
          <w:szCs w:val="24"/>
        </w:rPr>
        <w:t>Figure 2. Signal processing and fusion chain from sensors to PLC decision.</w:t>
      </w:r>
    </w:p>
    <w:p w14:paraId="1CE8C061"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PLC Decision and HMI</w:t>
      </w:r>
    </w:p>
    <w:p w14:paraId="2829082E"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The PLC assigns one of four states. Normal means all features are within healthy limits. Warning means one feature has crossed its warning threshold for a persistence period. Critical means several features are abnormal or a severe threshold is passed. Sensor fault flags missing or saturated readings so the system does not decide from bad data. The HMI shows motor </w:t>
      </w:r>
      <w:r w:rsidRPr="00CB7443">
        <w:rPr>
          <w:rFonts w:ascii="Times New Roman" w:eastAsia="Times New Roman" w:hAnsi="Times New Roman" w:cs="Times New Roman"/>
          <w:sz w:val="24"/>
          <w:szCs w:val="24"/>
        </w:rPr>
        <w:lastRenderedPageBreak/>
        <w:t>status, current and vibration RMS, condition state, alarm history and sensor health.</w:t>
      </w:r>
    </w:p>
    <w:tbl>
      <w:tblPr>
        <w:tblStyle w:val="TableGrid"/>
        <w:tblW w:w="0" w:type="auto"/>
        <w:tblLook w:val="04A0" w:firstRow="1" w:lastRow="0" w:firstColumn="1" w:lastColumn="0" w:noHBand="0" w:noVBand="1"/>
      </w:tblPr>
      <w:tblGrid>
        <w:gridCol w:w="1645"/>
        <w:gridCol w:w="1444"/>
        <w:gridCol w:w="1469"/>
      </w:tblGrid>
      <w:tr w:rsidR="007E3DE6" w:rsidRPr="00CB7443" w14:paraId="77F8F88E" w14:textId="77777777">
        <w:tc>
          <w:tcPr>
            <w:tcW w:w="3135" w:type="dxa"/>
          </w:tcPr>
          <w:p w14:paraId="492B965D"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b/>
                <w:sz w:val="24"/>
                <w:szCs w:val="24"/>
              </w:rPr>
              <w:t>Condition</w:t>
            </w:r>
          </w:p>
        </w:tc>
        <w:tc>
          <w:tcPr>
            <w:tcW w:w="3135" w:type="dxa"/>
          </w:tcPr>
          <w:p w14:paraId="28345CD5"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b/>
                <w:sz w:val="24"/>
                <w:szCs w:val="24"/>
              </w:rPr>
              <w:t>Current evidence</w:t>
            </w:r>
          </w:p>
        </w:tc>
        <w:tc>
          <w:tcPr>
            <w:tcW w:w="3135" w:type="dxa"/>
          </w:tcPr>
          <w:p w14:paraId="7BDA1232"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b/>
                <w:sz w:val="24"/>
                <w:szCs w:val="24"/>
              </w:rPr>
              <w:t>Vibration evidence</w:t>
            </w:r>
          </w:p>
        </w:tc>
      </w:tr>
      <w:tr w:rsidR="007E3DE6" w:rsidRPr="00CB7443" w14:paraId="4776DC79" w14:textId="77777777">
        <w:tc>
          <w:tcPr>
            <w:tcW w:w="3135" w:type="dxa"/>
          </w:tcPr>
          <w:p w14:paraId="25644B1C"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Healthy</w:t>
            </w:r>
          </w:p>
        </w:tc>
        <w:tc>
          <w:tcPr>
            <w:tcW w:w="3135" w:type="dxa"/>
          </w:tcPr>
          <w:p w14:paraId="13A23DD4"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Stable RMS and spectrum</w:t>
            </w:r>
          </w:p>
        </w:tc>
        <w:tc>
          <w:tcPr>
            <w:tcW w:w="3135" w:type="dxa"/>
          </w:tcPr>
          <w:p w14:paraId="522A9A86"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Stable RMS and spectrum</w:t>
            </w:r>
          </w:p>
        </w:tc>
      </w:tr>
      <w:tr w:rsidR="007E3DE6" w:rsidRPr="00CB7443" w14:paraId="31E9B05B" w14:textId="77777777">
        <w:tc>
          <w:tcPr>
            <w:tcW w:w="3135" w:type="dxa"/>
          </w:tcPr>
          <w:p w14:paraId="35F4E6F9"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Overload</w:t>
            </w:r>
          </w:p>
        </w:tc>
        <w:tc>
          <w:tcPr>
            <w:tcW w:w="3135" w:type="dxa"/>
          </w:tcPr>
          <w:p w14:paraId="0F4DB035"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High RMS current</w:t>
            </w:r>
          </w:p>
        </w:tc>
        <w:tc>
          <w:tcPr>
            <w:tcW w:w="3135" w:type="dxa"/>
          </w:tcPr>
          <w:p w14:paraId="326D9B40"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Load related increase</w:t>
            </w:r>
          </w:p>
        </w:tc>
      </w:tr>
      <w:tr w:rsidR="007E3DE6" w:rsidRPr="00CB7443" w14:paraId="32E596DC" w14:textId="77777777">
        <w:tc>
          <w:tcPr>
            <w:tcW w:w="3135" w:type="dxa"/>
          </w:tcPr>
          <w:p w14:paraId="6D1F5F2F"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Bearing wear</w:t>
            </w:r>
          </w:p>
        </w:tc>
        <w:tc>
          <w:tcPr>
            <w:tcW w:w="3135" w:type="dxa"/>
          </w:tcPr>
          <w:p w14:paraId="67937CE4"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Modulation sidebands</w:t>
            </w:r>
          </w:p>
        </w:tc>
        <w:tc>
          <w:tcPr>
            <w:tcW w:w="3135" w:type="dxa"/>
          </w:tcPr>
          <w:p w14:paraId="202B298C"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RMS, crest factor and kurtosis rise</w:t>
            </w:r>
          </w:p>
        </w:tc>
      </w:tr>
      <w:tr w:rsidR="007E3DE6" w:rsidRPr="00CB7443" w14:paraId="6950BC40" w14:textId="77777777">
        <w:tc>
          <w:tcPr>
            <w:tcW w:w="3135" w:type="dxa"/>
          </w:tcPr>
          <w:p w14:paraId="2CD935D6"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Misalignment</w:t>
            </w:r>
          </w:p>
        </w:tc>
        <w:tc>
          <w:tcPr>
            <w:tcW w:w="3135" w:type="dxa"/>
          </w:tcPr>
          <w:p w14:paraId="23F32A43"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Current variation</w:t>
            </w:r>
          </w:p>
        </w:tc>
        <w:tc>
          <w:tcPr>
            <w:tcW w:w="3135" w:type="dxa"/>
          </w:tcPr>
          <w:p w14:paraId="42A905CF"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Axial/radial vibration increase</w:t>
            </w:r>
          </w:p>
        </w:tc>
      </w:tr>
      <w:tr w:rsidR="007E3DE6" w:rsidRPr="00CB7443" w14:paraId="40B12E02" w14:textId="77777777">
        <w:tc>
          <w:tcPr>
            <w:tcW w:w="3135" w:type="dxa"/>
          </w:tcPr>
          <w:p w14:paraId="5952CC39"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Electrical fault</w:t>
            </w:r>
          </w:p>
        </w:tc>
        <w:tc>
          <w:tcPr>
            <w:tcW w:w="3135" w:type="dxa"/>
          </w:tcPr>
          <w:p w14:paraId="587192E7"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Imbalance or distortion</w:t>
            </w:r>
          </w:p>
        </w:tc>
        <w:tc>
          <w:tcPr>
            <w:tcW w:w="3135" w:type="dxa"/>
          </w:tcPr>
          <w:p w14:paraId="181D8CD9" w14:textId="77777777" w:rsidR="007E3DE6" w:rsidRPr="00CB7443" w:rsidRDefault="00000000">
            <w:pPr>
              <w:rPr>
                <w:rFonts w:ascii="Times New Roman" w:hAnsi="Times New Roman" w:cs="Times New Roman"/>
                <w:sz w:val="24"/>
                <w:szCs w:val="24"/>
              </w:rPr>
            </w:pPr>
            <w:r w:rsidRPr="00CB7443">
              <w:rPr>
                <w:rFonts w:ascii="Times New Roman" w:eastAsia="Times New Roman" w:hAnsi="Times New Roman" w:cs="Times New Roman"/>
                <w:sz w:val="24"/>
                <w:szCs w:val="24"/>
              </w:rPr>
              <w:t>Secondary response</w:t>
            </w:r>
          </w:p>
        </w:tc>
      </w:tr>
    </w:tbl>
    <w:p w14:paraId="683EE003" w14:textId="77777777" w:rsidR="007E3DE6" w:rsidRPr="00CB7443" w:rsidRDefault="00000000">
      <w:pPr>
        <w:jc w:val="center"/>
        <w:rPr>
          <w:rFonts w:ascii="Times New Roman" w:hAnsi="Times New Roman" w:cs="Times New Roman"/>
          <w:sz w:val="24"/>
          <w:szCs w:val="24"/>
        </w:rPr>
      </w:pPr>
      <w:r w:rsidRPr="00CB7443">
        <w:rPr>
          <w:rFonts w:ascii="Times New Roman" w:eastAsia="Times New Roman" w:hAnsi="Times New Roman" w:cs="Times New Roman"/>
          <w:sz w:val="24"/>
          <w:szCs w:val="24"/>
        </w:rPr>
        <w:t>Table 1. Expected indicator behaviour for selected conditions.</w:t>
      </w:r>
    </w:p>
    <w:p w14:paraId="4F24B266"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Validation and Discussion</w:t>
      </w:r>
    </w:p>
    <w:p w14:paraId="4DDCCEB1"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Validation should start with healthy data at several loads. Controlled faults such as imbalance or misalignment are then introduced one at a time. Metrics include detection rate, false alarm rate, detection latency and monitoring availability (IEC, 2026). Figure 3 compares the proposed fused approach with current only and vibration only monitoring. The fused approach scores higher on both electrical and mechanical sensitivity. The main benefit is earlier warning without a separate specialist system. Limitations include motor specific baselines and the effects of sensor mounting, VFD switching and load variation.</w:t>
      </w:r>
    </w:p>
    <w:p w14:paraId="2AF23BC3" w14:textId="77777777" w:rsidR="007E3DE6" w:rsidRPr="00CB7443" w:rsidRDefault="00000000">
      <w:pPr>
        <w:jc w:val="center"/>
        <w:rPr>
          <w:rFonts w:ascii="Times New Roman" w:hAnsi="Times New Roman" w:cs="Times New Roman"/>
          <w:sz w:val="24"/>
          <w:szCs w:val="24"/>
        </w:rPr>
      </w:pPr>
      <w:r w:rsidRPr="00CB7443">
        <w:rPr>
          <w:rFonts w:ascii="Times New Roman" w:hAnsi="Times New Roman" w:cs="Times New Roman"/>
          <w:noProof/>
          <w:sz w:val="24"/>
          <w:szCs w:val="24"/>
        </w:rPr>
        <w:drawing>
          <wp:inline distT="0" distB="0" distL="0" distR="0" wp14:anchorId="310CE808" wp14:editId="572E5412">
            <wp:extent cx="2743200" cy="19255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3"/>
                    <a:stretch>
                      <a:fillRect/>
                    </a:stretch>
                  </pic:blipFill>
                  <pic:spPr>
                    <a:xfrm>
                      <a:off x="0" y="0"/>
                      <a:ext cx="2743200" cy="1925546"/>
                    </a:xfrm>
                    <a:prstGeom prst="rect">
                      <a:avLst/>
                    </a:prstGeom>
                  </pic:spPr>
                </pic:pic>
              </a:graphicData>
            </a:graphic>
          </wp:inline>
        </w:drawing>
      </w:r>
    </w:p>
    <w:p w14:paraId="29EB6B0D" w14:textId="77777777" w:rsidR="007E3DE6" w:rsidRPr="00CB7443" w:rsidRDefault="00000000">
      <w:pPr>
        <w:jc w:val="center"/>
        <w:rPr>
          <w:rFonts w:ascii="Times New Roman" w:hAnsi="Times New Roman" w:cs="Times New Roman"/>
          <w:sz w:val="24"/>
          <w:szCs w:val="24"/>
        </w:rPr>
      </w:pPr>
      <w:r w:rsidRPr="00CB7443">
        <w:rPr>
          <w:rFonts w:ascii="Times New Roman" w:eastAsia="Times New Roman" w:hAnsi="Times New Roman" w:cs="Times New Roman"/>
          <w:sz w:val="24"/>
          <w:szCs w:val="24"/>
        </w:rPr>
        <w:t>Figure 3. Illustrative comparison of monitoring strategies. Values are not measured data.</w:t>
      </w:r>
    </w:p>
    <w:p w14:paraId="4776A8F0" w14:textId="77777777" w:rsidR="007E3DE6" w:rsidRPr="00CB7443" w:rsidRDefault="00000000">
      <w:pPr>
        <w:spacing w:before="120" w:after="60"/>
        <w:rPr>
          <w:rFonts w:ascii="Times New Roman" w:hAnsi="Times New Roman" w:cs="Times New Roman"/>
          <w:sz w:val="24"/>
          <w:szCs w:val="24"/>
        </w:rPr>
      </w:pPr>
      <w:r w:rsidRPr="00CB7443">
        <w:rPr>
          <w:rFonts w:ascii="Times New Roman" w:eastAsia="Times New Roman" w:hAnsi="Times New Roman" w:cs="Times New Roman"/>
          <w:b/>
          <w:sz w:val="24"/>
          <w:szCs w:val="24"/>
        </w:rPr>
        <w:t>Conclusion</w:t>
      </w:r>
    </w:p>
    <w:p w14:paraId="2E3BE983" w14:textId="77777777" w:rsidR="007E3DE6" w:rsidRPr="00CB7443" w:rsidRDefault="00000000">
      <w:pPr>
        <w:ind w:firstLine="283"/>
        <w:jc w:val="both"/>
        <w:rPr>
          <w:rFonts w:ascii="Times New Roman" w:hAnsi="Times New Roman" w:cs="Times New Roman"/>
          <w:sz w:val="24"/>
          <w:szCs w:val="24"/>
        </w:rPr>
      </w:pPr>
      <w:r w:rsidRPr="00CB7443">
        <w:rPr>
          <w:rFonts w:ascii="Times New Roman" w:eastAsia="Times New Roman" w:hAnsi="Times New Roman" w:cs="Times New Roman"/>
          <w:sz w:val="24"/>
          <w:szCs w:val="24"/>
        </w:rPr>
        <w:t>A PLC based multi sensor framework for industrial motor condition monitoring has been presented. It combines current and vibration evidence into transparent indicators and fuses them through simple PLC logic. The design uses existing automation infrastructure, making it accessible to factories that cannot yet invest in advanced analytics platforms. Future work should validate thresholds on a motor test rig and extend the system with temperature, voltage and speed information.</w:t>
      </w:r>
    </w:p>
    <w:p w14:paraId="4B7A16C3" w14:textId="77777777" w:rsidR="007E3DE6" w:rsidRPr="00CB7443" w:rsidRDefault="00000000">
      <w:pPr>
        <w:jc w:val="center"/>
        <w:rPr>
          <w:rFonts w:ascii="Times New Roman" w:hAnsi="Times New Roman" w:cs="Times New Roman"/>
          <w:sz w:val="24"/>
          <w:szCs w:val="24"/>
        </w:rPr>
      </w:pPr>
      <w:r w:rsidRPr="00CB7443">
        <w:rPr>
          <w:rFonts w:ascii="Times New Roman" w:eastAsia="Times New Roman" w:hAnsi="Times New Roman" w:cs="Times New Roman"/>
          <w:b/>
          <w:sz w:val="24"/>
          <w:szCs w:val="24"/>
        </w:rPr>
        <w:t>References</w:t>
      </w:r>
    </w:p>
    <w:p w14:paraId="25C81E51"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Benbouzid, M.E.H. (2000) A review of induction motors signature analysis as a medium for faults detection, IEEE Transactions on Industrial Electronics, 47(5), pp. 984-993. doi:10.1109/41.873206.</w:t>
      </w:r>
    </w:p>
    <w:p w14:paraId="093FDD59"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Gangsar, P. and Tiwari, R. (2020) Signal based condition monitoring techniques for fault detection and diagnosis of induction motors: a </w:t>
      </w:r>
      <w:proofErr w:type="gramStart"/>
      <w:r w:rsidRPr="00CB7443">
        <w:rPr>
          <w:rFonts w:ascii="Times New Roman" w:eastAsia="Times New Roman" w:hAnsi="Times New Roman" w:cs="Times New Roman"/>
          <w:sz w:val="24"/>
          <w:szCs w:val="24"/>
        </w:rPr>
        <w:t>state of the art</w:t>
      </w:r>
      <w:proofErr w:type="gramEnd"/>
      <w:r w:rsidRPr="00CB7443">
        <w:rPr>
          <w:rFonts w:ascii="Times New Roman" w:eastAsia="Times New Roman" w:hAnsi="Times New Roman" w:cs="Times New Roman"/>
          <w:sz w:val="24"/>
          <w:szCs w:val="24"/>
        </w:rPr>
        <w:t xml:space="preserve"> </w:t>
      </w:r>
      <w:r w:rsidRPr="00CB7443">
        <w:rPr>
          <w:rFonts w:ascii="Times New Roman" w:eastAsia="Times New Roman" w:hAnsi="Times New Roman" w:cs="Times New Roman"/>
          <w:sz w:val="24"/>
          <w:szCs w:val="24"/>
        </w:rPr>
        <w:lastRenderedPageBreak/>
        <w:t xml:space="preserve">review, Mechanical Systems and Signal Processing, 144, p. 106908. </w:t>
      </w:r>
      <w:proofErr w:type="gramStart"/>
      <w:r w:rsidRPr="00CB7443">
        <w:rPr>
          <w:rFonts w:ascii="Times New Roman" w:eastAsia="Times New Roman" w:hAnsi="Times New Roman" w:cs="Times New Roman"/>
          <w:sz w:val="24"/>
          <w:szCs w:val="24"/>
        </w:rPr>
        <w:t>doi:10.1016/j.ymssp</w:t>
      </w:r>
      <w:proofErr w:type="gramEnd"/>
      <w:r w:rsidRPr="00CB7443">
        <w:rPr>
          <w:rFonts w:ascii="Times New Roman" w:eastAsia="Times New Roman" w:hAnsi="Times New Roman" w:cs="Times New Roman"/>
          <w:sz w:val="24"/>
          <w:szCs w:val="24"/>
        </w:rPr>
        <w:t>.2020.106908.</w:t>
      </w:r>
    </w:p>
    <w:p w14:paraId="721B6397"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Yang, B.S. and Kim, K.J. (2006) Application of Dempster-Shafer theory in fault diagnosis of induction motors using vibration and current signals, Mechanical Systems and Signal Processing, 20(2), pp. 403-420. </w:t>
      </w:r>
      <w:proofErr w:type="gramStart"/>
      <w:r w:rsidRPr="00CB7443">
        <w:rPr>
          <w:rFonts w:ascii="Times New Roman" w:eastAsia="Times New Roman" w:hAnsi="Times New Roman" w:cs="Times New Roman"/>
          <w:sz w:val="24"/>
          <w:szCs w:val="24"/>
        </w:rPr>
        <w:t>doi:10.1016/j.ymssp</w:t>
      </w:r>
      <w:proofErr w:type="gramEnd"/>
      <w:r w:rsidRPr="00CB7443">
        <w:rPr>
          <w:rFonts w:ascii="Times New Roman" w:eastAsia="Times New Roman" w:hAnsi="Times New Roman" w:cs="Times New Roman"/>
          <w:sz w:val="24"/>
          <w:szCs w:val="24"/>
        </w:rPr>
        <w:t>.2004.10.010.</w:t>
      </w:r>
    </w:p>
    <w:p w14:paraId="1FC883E8"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Niu, G. (2023) Motor fault diagnostics based on current signatures: a review, IEEE Transactions on Instrumentation and Measurement, 72, p. 3520919. doi:10.1109/TIM.2023.3285999.</w:t>
      </w:r>
    </w:p>
    <w:p w14:paraId="6A790C0F"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 xml:space="preserve">Yakhni, M.F., Cauet, S., Sakout, A., Assoum, H., Etien, E., Rambault, L. and El Gohary, M. (2023) Variable speed induction motors fault detection based on transient motor current signatures analysis: a review, Mechanical Systems and Signal Processing, 184, p. 109737. </w:t>
      </w:r>
      <w:proofErr w:type="gramStart"/>
      <w:r w:rsidRPr="00CB7443">
        <w:rPr>
          <w:rFonts w:ascii="Times New Roman" w:eastAsia="Times New Roman" w:hAnsi="Times New Roman" w:cs="Times New Roman"/>
          <w:sz w:val="24"/>
          <w:szCs w:val="24"/>
        </w:rPr>
        <w:t>doi:10.1016/j.ymssp</w:t>
      </w:r>
      <w:proofErr w:type="gramEnd"/>
      <w:r w:rsidRPr="00CB7443">
        <w:rPr>
          <w:rFonts w:ascii="Times New Roman" w:eastAsia="Times New Roman" w:hAnsi="Times New Roman" w:cs="Times New Roman"/>
          <w:sz w:val="24"/>
          <w:szCs w:val="24"/>
        </w:rPr>
        <w:t>.2022.109737.</w:t>
      </w:r>
    </w:p>
    <w:p w14:paraId="40D07ECE"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ISO (2016) ISO 20816-1:2016 Mechanical vibration -- Measurement and evaluation of machine vibration -- Part 1: General guidelines. Geneva: International Organization for Standardization.</w:t>
      </w:r>
    </w:p>
    <w:p w14:paraId="199D7922" w14:textId="77777777" w:rsidR="007E3DE6" w:rsidRPr="00CB7443" w:rsidRDefault="00000000">
      <w:pPr>
        <w:ind w:left="283" w:hanging="283"/>
        <w:jc w:val="both"/>
        <w:rPr>
          <w:rFonts w:ascii="Times New Roman" w:hAnsi="Times New Roman" w:cs="Times New Roman"/>
          <w:sz w:val="24"/>
          <w:szCs w:val="24"/>
        </w:rPr>
      </w:pPr>
      <w:r w:rsidRPr="00CB7443">
        <w:rPr>
          <w:rFonts w:ascii="Times New Roman" w:eastAsia="Times New Roman" w:hAnsi="Times New Roman" w:cs="Times New Roman"/>
          <w:sz w:val="24"/>
          <w:szCs w:val="24"/>
        </w:rPr>
        <w:t>IEC (2026) IEC 60034-1:2026 Rotating electrical machines -- Part 1: Rating and performance. Geneva: International Electrotechnical Commission.</w:t>
      </w:r>
    </w:p>
    <w:sectPr w:rsidR="007E3DE6" w:rsidRPr="00CB7443" w:rsidSect="00034616">
      <w:type w:val="continuous"/>
      <w:pgSz w:w="12240" w:h="15840"/>
      <w:pgMar w:top="1417" w:right="1134" w:bottom="1701" w:left="170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85D3" w14:textId="77777777" w:rsidR="00732B92" w:rsidRDefault="00732B92" w:rsidP="00CB7443">
      <w:pPr>
        <w:spacing w:after="0" w:line="240" w:lineRule="auto"/>
      </w:pPr>
      <w:r>
        <w:separator/>
      </w:r>
    </w:p>
  </w:endnote>
  <w:endnote w:type="continuationSeparator" w:id="0">
    <w:p w14:paraId="7252B587" w14:textId="77777777" w:rsidR="00732B92" w:rsidRDefault="00732B92" w:rsidP="00CB7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BB1B" w14:textId="77777777" w:rsidR="00732B92" w:rsidRDefault="00732B92" w:rsidP="00CB7443">
      <w:pPr>
        <w:spacing w:after="0" w:line="240" w:lineRule="auto"/>
      </w:pPr>
      <w:r>
        <w:separator/>
      </w:r>
    </w:p>
  </w:footnote>
  <w:footnote w:type="continuationSeparator" w:id="0">
    <w:p w14:paraId="26AE92B0" w14:textId="77777777" w:rsidR="00732B92" w:rsidRDefault="00732B92" w:rsidP="00CB7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882598">
    <w:abstractNumId w:val="8"/>
  </w:num>
  <w:num w:numId="2" w16cid:durableId="637537981">
    <w:abstractNumId w:val="6"/>
  </w:num>
  <w:num w:numId="3" w16cid:durableId="655651173">
    <w:abstractNumId w:val="5"/>
  </w:num>
  <w:num w:numId="4" w16cid:durableId="1389915957">
    <w:abstractNumId w:val="4"/>
  </w:num>
  <w:num w:numId="5" w16cid:durableId="1474248863">
    <w:abstractNumId w:val="7"/>
  </w:num>
  <w:num w:numId="6" w16cid:durableId="2071225072">
    <w:abstractNumId w:val="3"/>
  </w:num>
  <w:num w:numId="7" w16cid:durableId="1838613608">
    <w:abstractNumId w:val="2"/>
  </w:num>
  <w:num w:numId="8" w16cid:durableId="1542015104">
    <w:abstractNumId w:val="1"/>
  </w:num>
  <w:num w:numId="9" w16cid:durableId="41782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B92"/>
    <w:rsid w:val="007E3DE6"/>
    <w:rsid w:val="00AA1D8D"/>
    <w:rsid w:val="00B47730"/>
    <w:rsid w:val="00B75969"/>
    <w:rsid w:val="00CB0664"/>
    <w:rsid w:val="00CB7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A7D40"/>
  <w14:defaultImageDpi w14:val="300"/>
  <w15:docId w15:val="{3F338392-8A69-4CF5-82D9-8C24F814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worshiplivingstone@gmail.com</cp:lastModifiedBy>
  <cp:revision>3</cp:revision>
  <dcterms:created xsi:type="dcterms:W3CDTF">2013-12-23T23:15:00Z</dcterms:created>
  <dcterms:modified xsi:type="dcterms:W3CDTF">2026-10-11T06:56:00Z</dcterms:modified>
  <cp:category/>
</cp:coreProperties>
</file>