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color w:val="FFFFFF"/>
          <w:sz w:val="17"/>
          <w:shd w:fill="2B776F"/>
        </w:rPr>
        <w:t xml:space="preserve">  PRODUCT STRATEGY + IMPLEMENTATION BRIEF  </w:t>
      </w:r>
    </w:p>
    <w:p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72434"/>
          <w:sz w:val="60"/>
        </w:rPr>
        <w:t>从 Codex 式开发 Agent</w:t>
      </w:r>
      <w:r>
        <w:br/>
      </w:r>
      <w:r>
        <w:rPr>
          <w:rFonts w:ascii="Noto Sans CJK SC" w:hAnsi="Noto Sans CJK SC" w:eastAsia="Noto Sans CJK SC"/>
          <w:b/>
          <w:i w:val="0"/>
          <w:color w:val="172434"/>
          <w:sz w:val="60"/>
        </w:rPr>
        <w:t>到多职业 AI 工作平台</w:t>
      </w:r>
    </w:p>
    <w:p>
      <w:pPr>
        <w:spacing w:before="0" w:after="320" w:line="30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A5563"/>
          <w:sz w:val="24"/>
        </w:rPr>
        <w:t>基于当前多 Worker 架构、DeepSeek V4 模型接入与 7 张市场案例界面的产品演进建议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7B415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17243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核心结论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FFFFFF"/>
                <w:sz w:val="20"/>
              </w:rPr>
              <w:t>不要只是在现有界面里继续增加 Worker，也不要把整套产品改造成运营工具。建议保留 Codex 式通用 Agent 内核，将产品升级为“统一平台 + 可插拔专业工作台（Workbench Pack）”：底层能力统一，上层界面、流程、指标与交付物按职业变化。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33"/>
            <w:vAlign w:val="top"/>
            <w:shd w:fill="F5F7F9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8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21"/>
              </w:rPr>
              <w:t>当前形态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A5563"/>
                <w:sz w:val="18"/>
              </w:rPr>
              <w:t>以 Codex 为主要参考，已有多 Worker、任务执行与状态可视化。</w:t>
            </w:r>
          </w:p>
        </w:tc>
        <w:tc>
          <w:tcPr>
            <w:tcW w:type="dxa" w:w="3033"/>
            <w:vAlign w:val="top"/>
            <w:shd w:fill="F5F7F9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8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21"/>
              </w:rPr>
              <w:t>目标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A5563"/>
                <w:sz w:val="18"/>
              </w:rPr>
              <w:t>从开发者工具扩展为适合运营、知识工作者等多职业用户的平台。</w:t>
            </w:r>
          </w:p>
        </w:tc>
        <w:tc>
          <w:tcPr>
            <w:tcW w:type="dxa" w:w="3033"/>
            <w:vAlign w:val="top"/>
            <w:shd w:fill="F5F7F9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8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21"/>
              </w:rPr>
              <w:t>推荐策略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A5563"/>
                <w:sz w:val="18"/>
              </w:rPr>
              <w:t>以现有内核为基础做平台化扩展，先验证一个非开发者工作台。</w:t>
            </w:r>
          </w:p>
        </w:tc>
      </w:tr>
    </w:tbl>
    <w:p>
      <w:pPr>
        <w:spacing w:before="360" w:after="8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8"/>
        </w:rPr>
        <w:t>文档用途：产品决策、原型设计、技术拆分，以及直接交给 Codex 形成实施计划</w:t>
      </w:r>
    </w:p>
    <w:p>
      <w:pPr>
        <w:spacing w:before="100" w:after="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8"/>
        </w:rPr>
        <w:t>2026 年 7 月 17 日</w:t>
      </w:r>
    </w:p>
    <w:p>
      <w:r>
        <w:br w:type="page"/>
      </w: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01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一页结论：应该做什么、不应该做什么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02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七张界面带来的可迁移启发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03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产品定位：一套平台，多种专业工作台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04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目标产品结构与核心界面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05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如何复用当前 Codex 式架构，而不是推倒重来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06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技术架构、数据模型与 Workbench Pack 规范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07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首个非开发者 MVP：内容运营工作台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08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迭代路线、指标与风险控制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09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可直接交给 Codex 的实施 Brief</w:t>
            </w:r>
          </w:p>
        </w:tc>
      </w:tr>
      <w:tr>
        <w:tc>
          <w:tcPr>
            <w:tcW w:type="dxa" w:w="737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0"/>
              </w:rPr>
              <w:t>A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start w:val="nil"/>
              <w:bottom w:sz="4" w:val="single" w:color="E4E8EC"/>
              <w:end w:val="nil"/>
            </w:tcBorders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附录：案例截图与设计模式索引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7B415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F3E9E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B4157"/>
                <w:sz w:val="22"/>
              </w:rPr>
              <w:t>阅读提示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本文把“Worker”定义为执行单元，把“Workbench Pack”定义为面向某一职业的完整产品包。两者不是同一层：只增加 Worker，无法自动获得适合运营、销售、研究等人群的工作体验。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01  一页结论：应该做什么、不应该做什么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2B776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E9F4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22"/>
              </w:rPr>
              <w:t>推荐方案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把现有产品从“一个会调用多个 Worker 的开发 Agent”升级为“一个通用工作平台，按职业加载不同专业工作台”。开发者工作台保留并成为第一个 Workbench Pack；运营、知识研究、直播等作为后续 Pack 接入。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1.1 决策对比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type="dxa" w:w="2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优点</w:t>
            </w:r>
          </w:p>
        </w:tc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主要问题</w:t>
            </w:r>
          </w:p>
        </w:tc>
        <w:tc>
          <w:tcPr>
            <w:tcW w:type="dxa" w:w="9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只继续增加 Worker</w:t>
            </w:r>
          </w:p>
        </w:tc>
        <w:tc>
          <w:tcPr>
            <w:tcW w:type="dxa" w:w="2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研发成本低，能增强并行执行</w:t>
            </w:r>
          </w:p>
        </w:tc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用户仍需在聊天框中理解复杂协作；非开发者看不见自己的业务流程、指标和交付物</w:t>
            </w:r>
          </w:p>
        </w:tc>
        <w:tc>
          <w:tcPr>
            <w:tcW w:type="dxa" w:w="9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不够</w:t>
            </w:r>
          </w:p>
        </w:tc>
      </w:tr>
      <w:tr>
        <w:trPr>
          <w:cantSplit/>
        </w:trPr>
        <w:tc>
          <w:tcPr>
            <w:tcW w:type="dxa" w:w="178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整套界面改成运营工作台</w:t>
            </w:r>
          </w:p>
        </w:tc>
        <w:tc>
          <w:tcPr>
            <w:tcW w:type="dxa" w:w="229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对运营人员直观</w:t>
            </w:r>
          </w:p>
        </w:tc>
        <w:tc>
          <w:tcPr>
            <w:tcW w:type="dxa" w:w="4252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产品定位被垂直化，开发者体验受损；后续每个职业都要重做一套</w:t>
            </w:r>
          </w:p>
        </w:tc>
        <w:tc>
          <w:tcPr>
            <w:tcW w:type="dxa" w:w="93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不建议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为每个职业做独立产品</w:t>
            </w:r>
          </w:p>
        </w:tc>
        <w:tc>
          <w:tcPr>
            <w:tcW w:type="dxa" w:w="2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定位清晰，营销容易</w:t>
            </w:r>
          </w:p>
        </w:tc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代码与能力重复、账号和资产割裂、维护成本快速增长</w:t>
            </w:r>
          </w:p>
        </w:tc>
        <w:tc>
          <w:tcPr>
            <w:tcW w:type="dxa" w:w="9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仅在商业验证后考虑</w:t>
            </w:r>
          </w:p>
        </w:tc>
      </w:tr>
      <w:tr>
        <w:trPr>
          <w:cantSplit/>
        </w:trPr>
        <w:tc>
          <w:tcPr>
            <w:tcW w:type="dxa" w:w="1786"/>
            <w:shd w:fill="E9F4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5A55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17"/>
              </w:rPr>
              <w:t>统一平台 + 专业工作台包</w:t>
            </w:r>
          </w:p>
        </w:tc>
        <w:tc>
          <w:tcPr>
            <w:tcW w:type="dxa" w:w="2296"/>
            <w:shd w:fill="E9F4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5A55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17"/>
              </w:rPr>
              <w:t>底层复用，外层专业；保留开发优势，同时覆盖更多职业</w:t>
            </w:r>
          </w:p>
        </w:tc>
        <w:tc>
          <w:tcPr>
            <w:tcW w:type="dxa" w:w="4252"/>
            <w:shd w:fill="E9F4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5A55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17"/>
              </w:rPr>
              <w:t>需要先抽象核心数据模型和扩展接口</w:t>
            </w:r>
          </w:p>
        </w:tc>
        <w:tc>
          <w:tcPr>
            <w:tcW w:type="dxa" w:w="935"/>
            <w:shd w:fill="E9F4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5A55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17"/>
              </w:rPr>
              <w:t>推荐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1.2 六条产品原则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工作在前台，AI 在后台：用户首先看到“今天要完成什么、哪里异常、需要我确认什么”，而不是先面对空白聊天框。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聊天是通用命令入口，不是整个产品：聊天用于下达意图、追问和干预；任务、流程、资产与指标应有独立界面。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多 Worker 解决执行问题，专业工作台解决采用问题：职业用户需要熟悉的术语、流程、看板、质量标准和交付物。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每次执行必须产生资产：代码、脚本、方案、报告、素材、复盘结论都要可编辑、可版本化、可复用，而不是留在消息气泡里。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自动化必须可见、可控、可接管：展示计划、状态、依据、成本、风险和下一步，并设置人工确认点、回滚与审计。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底层模型可替换，产品价值不能绑定某一模型：当前可继续使用 DeepSeek V4，但必须通过 Model Gateway 隔离模型能力与业务层。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1.3 最重要的边界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保留</w:t>
            </w:r>
          </w:p>
        </w:tc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新增</w:t>
            </w:r>
          </w:p>
        </w:tc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暂缓</w:t>
            </w:r>
          </w:p>
        </w:tc>
      </w:tr>
      <w:tr>
        <w:trPr>
          <w:cantSplit/>
        </w:trPr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现有开发者体验、Worker 执行引擎、任务状态、工具调用、项目上下文</w:t>
            </w:r>
          </w:p>
        </w:tc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Workbench Pack、职业化首页、流程模板、资产中心、知识沉淀、审批与监控</w:t>
            </w:r>
          </w:p>
        </w:tc>
        <w:tc>
          <w:tcPr>
            <w:tcW w:type="dxa" w:w="3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一次性大改 UI、同时覆盖所有职业、直接全自动投放或发布、过早开放插件市场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02  七张界面带来的可迁移启发</w:t>
      </w: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这些案例最值得学习的不是视觉风格，而是它们把“用户真正要完成的工作”放在了产品中心。以下提炼均可迁移到通用 Agent 平台中。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4155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s_vertic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15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7"/>
        </w:rPr>
        <w:t>图 1  三类垂直工作系统：生产、运行监控、复盘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案例</w:t>
            </w:r>
          </w:p>
        </w:tc>
        <w:tc>
          <w:tcPr>
            <w:tcW w:type="dxa" w:w="36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可观察设计</w:t>
            </w:r>
          </w:p>
        </w:tc>
        <w:tc>
          <w:tcPr>
            <w:tcW w:type="dxa" w:w="345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对本项目的启发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抖音 AI 编导 / 内容生产工作台</w:t>
            </w:r>
          </w:p>
        </w:tc>
        <w:tc>
          <w:tcPr>
            <w:tcW w:type="dxa" w:w="36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“今日工作台”而非聊天首页；素材 → 脚本 → 看板 → 审片 → 投放复盘；统计待拍、待审、已发布；自动生成早报</w:t>
            </w:r>
          </w:p>
        </w:tc>
        <w:tc>
          <w:tcPr>
            <w:tcW w:type="dxa" w:w="345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工作流、任务状态、业务指标和日常例行任务应成为首页核心。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自动投流 / 直播加热系统</w:t>
            </w:r>
          </w:p>
        </w:tc>
        <w:tc>
          <w:tcPr>
            <w:tcW w:type="dxa" w:w="368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账户、预算、计划查重、监控状态的预检；长时间运行监控；计划级状态和趋势；状态回报</w:t>
            </w:r>
          </w:p>
        </w:tc>
        <w:tc>
          <w:tcPr>
            <w:tcW w:type="dxa" w:w="345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自动化不只是“启动”，还要有前置校验、持续监控、异常处理、人工接管和审计。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LiveOS / 直播分析复盘</w:t>
            </w:r>
          </w:p>
        </w:tc>
        <w:tc>
          <w:tcPr>
            <w:tcW w:type="dxa" w:w="36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评分、对比基准、先看结论、核心原因、先改什么、下一场动作；输出 PDF 报告</w:t>
            </w:r>
          </w:p>
        </w:tc>
        <w:tc>
          <w:tcPr>
            <w:tcW w:type="dxa" w:w="345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业务用户需要“结论优先 + 可执行建议”，分析结果应沉淀为正式交付物。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ima 通用问答</w:t>
            </w:r>
          </w:p>
        </w:tc>
        <w:tc>
          <w:tcPr>
            <w:tcW w:type="dxa" w:w="368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低摩擦问答入口、模型选择、录音纪要、文档解读、写作与图像等快捷动作</w:t>
            </w:r>
          </w:p>
        </w:tc>
        <w:tc>
          <w:tcPr>
            <w:tcW w:type="dxa" w:w="345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保留一个随时可用的通用命令入口，但不要让它承担所有信息架构。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ima 知识库</w:t>
            </w:r>
          </w:p>
        </w:tc>
        <w:tc>
          <w:tcPr>
            <w:tcW w:type="dxa" w:w="36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个人、共享、订阅知识库；以特定知识范围提问；文件成为持续上下文</w:t>
            </w:r>
          </w:p>
        </w:tc>
        <w:tc>
          <w:tcPr>
            <w:tcW w:type="dxa" w:w="345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知识应有边界、归属、权限和引用范围，并能绑定项目、团队和 Agent。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ima 笔记</w:t>
            </w:r>
          </w:p>
        </w:tc>
        <w:tc>
          <w:tcPr>
            <w:tcW w:type="dxa" w:w="368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AI 产出进入可编辑文档；支持结构化编辑、图文与 AI 改写</w:t>
            </w:r>
          </w:p>
        </w:tc>
        <w:tc>
          <w:tcPr>
            <w:tcW w:type="dxa" w:w="345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Agent 的输出应转成可编辑、可版本化的 Artifact，而不是不可管理的聊天文本。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ima 知识 / Skills / MCP 发现</w:t>
            </w:r>
          </w:p>
        </w:tc>
        <w:tc>
          <w:tcPr>
            <w:tcW w:type="dxa" w:w="36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知识库、技能和连接能力可发现、订阅与复用</w:t>
            </w:r>
          </w:p>
        </w:tc>
        <w:tc>
          <w:tcPr>
            <w:tcW w:type="dxa" w:w="345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平台成熟后可建设 Pack / Skill / Connector 市场，但必须建立在稳定的权限、质量和版本体系之上。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4729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s_desk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72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7"/>
        </w:rPr>
        <w:t>图 2  通用入口、知识、笔记与生态发现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315A8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15A8B"/>
                <w:sz w:val="22"/>
              </w:rPr>
              <w:t>一句话提炼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这些产品共同完成了从“AI 会回答问题”到“AI 能在一个具体工作系统中持续交付”的转变。我们的目标不是复制某个垂直产品，而是把这种工作系统能力做成可插拔的平台能力。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03  产品定位：一套平台，多种专业工作台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3.1 推荐的对外定位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2B776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17243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建议定位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FFFFFF"/>
                <w:sz w:val="20"/>
              </w:rPr>
              <w:t>面向知识工作的多角色 AI 工作平台（AI Work OS）：一个入口，多种专业工作台；从任务意图到可交付成果的全流程协作。</w:t>
            </w:r>
          </w:p>
        </w:tc>
      </w:tr>
    </w:tbl>
    <w:p>
      <w:pPr>
        <w:spacing w:after="0"/>
      </w:pP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这一定义既不把产品锁死为“编码工具”，也不把它改造成“运营工具”。外部品牌保持通用；用户进入后，根据职业、项目和目标加载不同默认工作台。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3.2 四个容易混淆的概念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481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核心平台 Core</w:t>
            </w:r>
          </w:p>
        </w:tc>
        <w:tc>
          <w:tcPr>
            <w:tcW w:type="dxa" w:w="481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项目、任务、执行、工具、模型、权限、知识、资产、审计等统一能力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全职业共用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专业工作台包 Workbench Pack</w:t>
            </w:r>
          </w:p>
        </w:tc>
        <w:tc>
          <w:tcPr>
            <w:tcW w:type="dxa" w:w="481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某一职业的导航、首页、术语、Agent 阵容、流程模板、指标、资产类型和质量规则</w:t>
            </w:r>
          </w:p>
        </w:tc>
        <w:tc>
          <w:tcPr>
            <w:tcW w:type="dxa" w:w="215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例如开发、内容运营、直播运营、研究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Worker / Agent</w:t>
            </w:r>
          </w:p>
        </w:tc>
        <w:tc>
          <w:tcPr>
            <w:tcW w:type="dxa" w:w="481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完成某类动作的执行单元，可被多个工作台复用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例如研究、写作、代码、审查、监控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Workflow</w:t>
            </w:r>
          </w:p>
        </w:tc>
        <w:tc>
          <w:tcPr>
            <w:tcW w:type="dxa" w:w="481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多个步骤、Agent、工具、审批点和交付物组成的可重复业务流程</w:t>
            </w:r>
          </w:p>
        </w:tc>
        <w:tc>
          <w:tcPr>
            <w:tcW w:type="dxa" w:w="215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例如“短视频选题到复盘”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3.3 关键定位句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同一个用户可以切换工作台；选择“运营”不意味着永远失去开发功能。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同一个 Worker 可以被多个工作台复用；“研究 Worker”既能服务开发，也能服务内容运营。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同一个项目可以调用多个工作台；例如产品发布项目同时包含开发、内容和复盘流程。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专业化发生在界面、流程、指标和交付物层，不应复制一套新的 Agent 内核。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3.4 推荐的信息架构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62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全局层（所有用户一致）</w:t>
            </w:r>
          </w:p>
        </w:tc>
        <w:tc>
          <w:tcPr>
            <w:tcW w:type="dxa" w:w="62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今日 / 项目 / 任务 / Agent / 资产 / 知识 / 自动化 / 连接 / 设置</w:t>
            </w:r>
          </w:p>
        </w:tc>
      </w:tr>
      <w:tr>
        <w:trPr>
          <w:cantSplit/>
        </w:trPr>
        <w:tc>
          <w:tcPr>
            <w:tcW w:type="dxa" w:w="294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工作台层（按职业变化）</w:t>
            </w:r>
          </w:p>
        </w:tc>
        <w:tc>
          <w:tcPr>
            <w:tcW w:type="dxa" w:w="629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角色化仪表盘、常用流程、业务看板、领域指标、专属交付物编辑器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上下文层（按项目变化）</w:t>
            </w:r>
          </w:p>
        </w:tc>
        <w:tc>
          <w:tcPr>
            <w:tcW w:type="dxa" w:w="62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项目目标、文件与数据、团队成员、工具权限、知识范围、历史执行</w:t>
            </w:r>
          </w:p>
        </w:tc>
      </w:tr>
      <w:tr>
        <w:trPr>
          <w:cantSplit/>
        </w:trPr>
        <w:tc>
          <w:tcPr>
            <w:tcW w:type="dxa" w:w="294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命令层（随时可用）</w:t>
            </w:r>
          </w:p>
        </w:tc>
        <w:tc>
          <w:tcPr>
            <w:tcW w:type="dxa" w:w="629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聊天 / 命令面板，用于创建任务、解释状态、修改计划、追问和接管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04  目标产品结构与核心界面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4.1 推荐的全局 Shell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左上角：工作台切换器（开发 / 内容运营 / 研究 / 直播等），并支持为当前项目设定默认工作台。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主导航：今日、项目、任务、Agent、资产、知识、自动化、连接；保持跨职业一致。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右侧或底部：通用命令中心，可随时打开聊天，但聊天内容自动绑定当前项目、任务或资产。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通知与待办：仅突出异常、审批、失败、预算或权限风险，不把所有日志变成通知。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4.2 六个关键界面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界面</w:t>
            </w:r>
          </w:p>
        </w:tc>
        <w:tc>
          <w:tcPr>
            <w:tcW w:type="dxa" w:w="4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核心内容</w:t>
            </w:r>
          </w:p>
        </w:tc>
        <w:tc>
          <w:tcPr>
            <w:tcW w:type="dxa" w:w="27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主要价值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今日工作台</w:t>
            </w:r>
          </w:p>
        </w:tc>
        <w:tc>
          <w:tcPr>
            <w:tcW w:type="dxa" w:w="4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最高优先级任务、正在执行、待确认、异常、今日指标、AI 早报与快捷流程</w:t>
            </w:r>
          </w:p>
        </w:tc>
        <w:tc>
          <w:tcPr>
            <w:tcW w:type="dxa" w:w="27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让用户“一眼看清今天该做什么”</w:t>
            </w:r>
          </w:p>
        </w:tc>
      </w:tr>
      <w:tr>
        <w:trPr>
          <w:cantSplit/>
        </w:trPr>
        <w:tc>
          <w:tcPr>
            <w:tcW w:type="dxa" w:w="192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项目工作区</w:t>
            </w:r>
          </w:p>
        </w:tc>
        <w:tc>
          <w:tcPr>
            <w:tcW w:type="dxa" w:w="4592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项目目标、流程看板、成员与 Agent、相关知识、所有交付物、运行历史</w:t>
            </w:r>
          </w:p>
        </w:tc>
        <w:tc>
          <w:tcPr>
            <w:tcW w:type="dxa" w:w="2721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把一次聊天升级为持续工作容器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运行详情</w:t>
            </w:r>
          </w:p>
        </w:tc>
        <w:tc>
          <w:tcPr>
            <w:tcW w:type="dxa" w:w="4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计划、步骤、Worker 状态、工具调用、成本、依据、日志、审批点、回滚</w:t>
            </w:r>
          </w:p>
        </w:tc>
        <w:tc>
          <w:tcPr>
            <w:tcW w:type="dxa" w:w="27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建立信任和可控感</w:t>
            </w:r>
          </w:p>
        </w:tc>
      </w:tr>
      <w:tr>
        <w:trPr>
          <w:cantSplit/>
        </w:trPr>
        <w:tc>
          <w:tcPr>
            <w:tcW w:type="dxa" w:w="192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资产中心</w:t>
            </w:r>
          </w:p>
        </w:tc>
        <w:tc>
          <w:tcPr>
            <w:tcW w:type="dxa" w:w="4592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代码、文档、脚本、报告、图片、表格等 Artifact 的版本、状态、引用和复用</w:t>
            </w:r>
          </w:p>
        </w:tc>
        <w:tc>
          <w:tcPr>
            <w:tcW w:type="dxa" w:w="2721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让执行结果成为资产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知识中心</w:t>
            </w:r>
          </w:p>
        </w:tc>
        <w:tc>
          <w:tcPr>
            <w:tcW w:type="dxa" w:w="4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个人 / 项目 / 团队知识，来源、权限、更新时间、适用范围和引用记录</w:t>
            </w:r>
          </w:p>
        </w:tc>
        <w:tc>
          <w:tcPr>
            <w:tcW w:type="dxa" w:w="272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避免每次从零开始</w:t>
            </w:r>
          </w:p>
        </w:tc>
      </w:tr>
      <w:tr>
        <w:trPr>
          <w:cantSplit/>
        </w:trPr>
        <w:tc>
          <w:tcPr>
            <w:tcW w:type="dxa" w:w="192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工作台市场</w:t>
            </w:r>
          </w:p>
        </w:tc>
        <w:tc>
          <w:tcPr>
            <w:tcW w:type="dxa" w:w="4592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安装 Pack、Skill、Connector；显示版本、权限、评价、维护方和兼容性</w:t>
            </w:r>
          </w:p>
        </w:tc>
        <w:tc>
          <w:tcPr>
            <w:tcW w:type="dxa" w:w="2721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在平台稳定后形成生态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4.3 工作台示例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Workbench Pack</w:t>
            </w:r>
          </w:p>
        </w:tc>
        <w:tc>
          <w:tcPr>
            <w:tcW w:type="dxa" w:w="48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专业界面与资产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 Agent 阵容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开发者</w:t>
            </w:r>
          </w:p>
        </w:tc>
        <w:tc>
          <w:tcPr>
            <w:tcW w:type="dxa" w:w="48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仓库、Issue、任务计划、代码变更、终端、测试、审查、PR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Planner / Coder / Reviewer / Tester</w:t>
            </w:r>
          </w:p>
        </w:tc>
      </w:tr>
      <w:tr>
        <w:trPr>
          <w:cantSplit/>
        </w:trPr>
        <w:tc>
          <w:tcPr>
            <w:tcW w:type="dxa" w:w="175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内容运营</w:t>
            </w:r>
          </w:p>
        </w:tc>
        <w:tc>
          <w:tcPr>
            <w:tcW w:type="dxa" w:w="487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素材、选题、脚本、制作看板、审片、发布包、数据复盘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Director / Researcher / Scriptwriter / Reviewer / Analyst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知识研究</w:t>
            </w:r>
          </w:p>
        </w:tc>
        <w:tc>
          <w:tcPr>
            <w:tcW w:type="dxa" w:w="48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资料收集、知识库、笔记、证据卡、报告、引用与更新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Researcher / Synthesizer / Fact Checker / Editor</w:t>
            </w:r>
          </w:p>
        </w:tc>
      </w:tr>
      <w:tr>
        <w:trPr>
          <w:cantSplit/>
        </w:trPr>
        <w:tc>
          <w:tcPr>
            <w:tcW w:type="dxa" w:w="175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直播运营</w:t>
            </w:r>
          </w:p>
        </w:tc>
        <w:tc>
          <w:tcPr>
            <w:tcW w:type="dxa" w:w="487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账户预检、计划、运行监控、异常、话术、转化和复盘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Planner / Monitor / Budget Guard / Transcript Analyst / Reviewer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A66B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F8F0E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66B22"/>
                <w:sz w:val="22"/>
              </w:rPr>
              <w:t>交互原则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空白聊天框仍可保留，但它应像“全局命令栏”。用户说“为新品做 3 条短视频”后，系统应自动创建项目、生成流程、安排 Worker、产出脚本资产并进入审核，而不是只回复一段长文本。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05  如何复用当前 Codex 式架构，而不是推倒重来</w:t>
      </w: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当前产品已经具备多 Worker、任务执行、状态可视化等能力，这些恰好是平台底座。需要做的是“抽象与包裹”，而不是重新实现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现有概念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平台化抽象</w:t>
            </w:r>
          </w:p>
        </w:tc>
        <w:tc>
          <w:tcPr>
            <w:tcW w:type="dxa" w:w="473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需要补充的能力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聊天会话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通用命令中心</w:t>
            </w:r>
          </w:p>
        </w:tc>
        <w:tc>
          <w:tcPr>
            <w:tcW w:type="dxa" w:w="473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会话必须能绑定项目、任务、运行和资产；消息可转换为结构化任务</w:t>
            </w:r>
          </w:p>
        </w:tc>
      </w:tr>
      <w:tr>
        <w:trPr>
          <w:cantSplit/>
        </w:trPr>
        <w:tc>
          <w:tcPr>
            <w:tcW w:type="dxa" w:w="189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Worker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Agent Profile / Execution Worker</w:t>
            </w:r>
          </w:p>
        </w:tc>
        <w:tc>
          <w:tcPr>
            <w:tcW w:type="dxa" w:w="473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增加持久身份、能力声明、工具权限、负责范围、收件箱和记忆范围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代码项目 / 仓库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Workspace / Project</w:t>
            </w:r>
          </w:p>
        </w:tc>
        <w:tc>
          <w:tcPr>
            <w:tcW w:type="dxa" w:w="473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允许项目包含文档、素材、数据、连接和业务目标，而不只包含代码</w:t>
            </w:r>
          </w:p>
        </w:tc>
      </w:tr>
      <w:tr>
        <w:trPr>
          <w:cantSplit/>
        </w:trPr>
        <w:tc>
          <w:tcPr>
            <w:tcW w:type="dxa" w:w="189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文件与 Diff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Artifact + Version</w:t>
            </w:r>
          </w:p>
        </w:tc>
        <w:tc>
          <w:tcPr>
            <w:tcW w:type="dxa" w:w="473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把脚本、报告、方案、表格等纳入统一版本、审查和引用机制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任务与运行状态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Workflow Run</w:t>
            </w:r>
          </w:p>
        </w:tc>
        <w:tc>
          <w:tcPr>
            <w:tcW w:type="dxa" w:w="473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增加阶段、依赖、审批点、监控、重试、暂停、接管和回滚</w:t>
            </w:r>
          </w:p>
        </w:tc>
      </w:tr>
      <w:tr>
        <w:trPr>
          <w:cantSplit/>
        </w:trPr>
        <w:tc>
          <w:tcPr>
            <w:tcW w:type="dxa" w:w="189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终端与工具调用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Tool / Connector / MCP</w:t>
            </w:r>
          </w:p>
        </w:tc>
        <w:tc>
          <w:tcPr>
            <w:tcW w:type="dxa" w:w="473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加入账户、文档、知识库、媒体、数据源等连接，并按权限治理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测试 / Lint / Review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Quality Gate</w:t>
            </w:r>
          </w:p>
        </w:tc>
        <w:tc>
          <w:tcPr>
            <w:tcW w:type="dxa" w:w="473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抽象成领域质量门：品牌、合规、预算、事实、格式、数据完整性</w:t>
            </w:r>
          </w:p>
        </w:tc>
      </w:tr>
      <w:tr>
        <w:trPr>
          <w:cantSplit/>
        </w:trPr>
        <w:tc>
          <w:tcPr>
            <w:tcW w:type="dxa" w:w="189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记忆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Knowledge Layer</w:t>
            </w:r>
          </w:p>
        </w:tc>
        <w:tc>
          <w:tcPr>
            <w:tcW w:type="dxa" w:w="473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按个人、项目、组织和 Agent 范围存储；记录来源、有效期和引用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5.1 不建议做一次性“大换皮”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先把现有开发模式注册为 developer-pack，确保所有现有能力通过新接口仍可工作。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新增 Pack Registry 和 Role Switcher，再逐步把首页、导航和流程改为配置驱动。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通用组件先于垂直页面：任务看板、指标卡、审批卡、运行时间线、资产编辑器都应可复用。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所有新能力通过 Feature Flag 发布，允许旧界面与新工作台并行一段时间。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先验证一个非开发者 Pack，再决定是否扩大到更多职业。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5.2 “Worker 更多”与“产品更适合多职业”的区别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层面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只增加 Worker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增加 Workbench Pack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执行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能并行完成更多子任务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同样能并行执行</w:t>
            </w:r>
          </w:p>
        </w:tc>
      </w:tr>
      <w:tr>
        <w:trPr>
          <w:cantSplit/>
        </w:trPr>
        <w:tc>
          <w:tcPr>
            <w:tcW w:type="dxa" w:w="181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用户认知</w:t>
            </w:r>
          </w:p>
        </w:tc>
        <w:tc>
          <w:tcPr>
            <w:tcW w:type="dxa" w:w="371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用户仍需理解 Agent 如何拆解</w:t>
            </w:r>
          </w:p>
        </w:tc>
        <w:tc>
          <w:tcPr>
            <w:tcW w:type="dxa" w:w="371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用户看到熟悉的业务流程和术语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交付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结果散落在消息、文件和日志中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结果进入明确的资产类型、状态和审核流程</w:t>
            </w:r>
          </w:p>
        </w:tc>
      </w:tr>
      <w:tr>
        <w:trPr>
          <w:cantSplit/>
        </w:trPr>
        <w:tc>
          <w:tcPr>
            <w:tcW w:type="dxa" w:w="181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信任</w:t>
            </w:r>
          </w:p>
        </w:tc>
        <w:tc>
          <w:tcPr>
            <w:tcW w:type="dxa" w:w="371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主要靠阅读日志</w:t>
            </w:r>
          </w:p>
        </w:tc>
        <w:tc>
          <w:tcPr>
            <w:tcW w:type="dxa" w:w="371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通过预检、状态、指标、审批、异常和回滚建立信任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商业化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难以针对职业定价和包装</w:t>
            </w:r>
          </w:p>
        </w:tc>
        <w:tc>
          <w:tcPr>
            <w:tcW w:type="dxa" w:w="371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可按 Pack、团队、连接器和自动化能力分层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06  技术架构、数据模型与 Workbench Pack 规范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6.1 推荐的分层架构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shd w:fill="172434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产品 Shell</w:t>
            </w:r>
          </w:p>
        </w:tc>
        <w:tc>
          <w:tcPr>
            <w:tcW w:type="dxa" w:w="640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全局导航、工作台切换、命令中心、通知、权限与组织</w:t>
            </w:r>
          </w:p>
        </w:tc>
      </w:tr>
      <w:tr>
        <w:trPr>
          <w:cantSplit/>
        </w:trPr>
        <w:tc>
          <w:tcPr>
            <w:tcW w:type="dxa" w:w="2835"/>
            <w:shd w:fill="1E5A5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Workbench Pack Runtime</w:t>
            </w:r>
          </w:p>
        </w:tc>
        <w:tc>
          <w:tcPr>
            <w:tcW w:type="dxa" w:w="640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路由、Dashboard Widgets、领域术语、流程模板、指标、Artifact Renderer</w:t>
            </w:r>
          </w:p>
        </w:tc>
      </w:tr>
      <w:tr>
        <w:trPr>
          <w:cantSplit/>
        </w:trPr>
        <w:tc>
          <w:tcPr>
            <w:tcW w:type="dxa" w:w="2835"/>
            <w:shd w:fill="315A8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Workflow Orchestrator</w:t>
            </w:r>
          </w:p>
        </w:tc>
        <w:tc>
          <w:tcPr>
            <w:tcW w:type="dxa" w:w="640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计划、依赖、状态机、审批、重试、暂停、并行、补偿与定时任务</w:t>
            </w:r>
          </w:p>
        </w:tc>
      </w:tr>
      <w:tr>
        <w:trPr>
          <w:cantSplit/>
        </w:trPr>
        <w:tc>
          <w:tcPr>
            <w:tcW w:type="dxa" w:w="2835"/>
            <w:shd w:fill="7B415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Agent Runtime</w:t>
            </w:r>
          </w:p>
        </w:tc>
        <w:tc>
          <w:tcPr>
            <w:tcW w:type="dxa" w:w="640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Orchestrator、Worker、Reviewer、Monitor；上下文、工具权限与持久记忆</w:t>
            </w:r>
          </w:p>
        </w:tc>
      </w:tr>
      <w:tr>
        <w:trPr>
          <w:cantSplit/>
        </w:trPr>
        <w:tc>
          <w:tcPr>
            <w:tcW w:type="dxa" w:w="2835"/>
            <w:shd w:fill="2B776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Artifact &amp; Knowledge</w:t>
            </w:r>
          </w:p>
        </w:tc>
        <w:tc>
          <w:tcPr>
            <w:tcW w:type="dxa" w:w="640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可编辑交付物、版本、引用、知识范围、检索、沉淀与过期管理</w:t>
            </w:r>
          </w:p>
        </w:tc>
      </w:tr>
      <w:tr>
        <w:trPr>
          <w:cantSplit/>
        </w:trPr>
        <w:tc>
          <w:tcPr>
            <w:tcW w:type="dxa" w:w="2835"/>
            <w:shd w:fill="A66B2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Tools / Connectors / MCP</w:t>
            </w:r>
          </w:p>
        </w:tc>
        <w:tc>
          <w:tcPr>
            <w:tcW w:type="dxa" w:w="640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代码、文件、浏览器、文档、数据库、媒体、账户和第三方系统</w:t>
            </w:r>
          </w:p>
        </w:tc>
      </w:tr>
      <w:tr>
        <w:trPr>
          <w:cantSplit/>
        </w:trPr>
        <w:tc>
          <w:tcPr>
            <w:tcW w:type="dxa" w:w="2835"/>
            <w:shd w:fill="4A5563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FFFFFF"/>
              <w:start w:sz="4" w:val="single" w:color="FFFFFF"/>
              <w:bottom w:sz="4" w:val="single" w:color="FFFFFF"/>
              <w:end w:sz="4" w:val="single" w:color="FFFFF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Model Gateway</w:t>
            </w:r>
          </w:p>
        </w:tc>
        <w:tc>
          <w:tcPr>
            <w:tcW w:type="dxa" w:w="640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8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当前 DeepSeek V4；统一适配推理、工具调用、结构化输出、成本与降级策略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9A3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FBEA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9A3244"/>
                <w:sz w:val="22"/>
              </w:rPr>
              <w:t>横切能力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Observability、权限、审计、成本、隐私、安全策略和指标采集不属于某个 Pack，应横跨所有层。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6.2 建议的核心数据模型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Workspace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个人或组织的工作空间，承载权限、连接器、知识与计费边界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Project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持续目标与上下文容器，可跨多个 Workbench Pack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WorkbenchPack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专业工作台配置、组件、流程、指标、Agent 和质量规则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AgentProfile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Agent 身份、能力、提示词、工具权限、记忆范围与负责对象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WorkflowTemplate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可重复的阶段、节点、依赖、审批点和输出定义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Run / Task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一次流程执行及其可调度子任务，含状态、计划、重试和负责人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Artifact / Version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执行产生的可交付资产与版本、状态、审查、引用关系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KnowledgeItem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有来源、范围、更新时间、有效期和权限的可检索知识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Approval / Intervention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人工确认、修改、暂停、接管、回滚与理由记录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Metric / Event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业务指标与产品事件，用于看板、复盘和效果评估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6.3 Workbench Pack 配置示例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3F5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sz="4" w:val="single" w:color="CCD2D9"/>
              <w:start w:sz="4" w:val="single" w:color="CCD2D9"/>
              <w:bottom w:sz="4" w:val="single" w:color="CCD2D9"/>
              <w:end w:sz="4" w:val="single" w:color="CCD2D9"/>
            </w:tcBorders>
          </w:tcPr>
          <w:p>
            <w:pPr>
              <w:spacing w:before="0" w:after="10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4A5563"/>
                <w:sz w:val="18"/>
              </w:rPr>
              <w:t>pack.yaml（示意，字段按现有技术栈调整）</w:t>
            </w:r>
          </w:p>
          <w:p>
            <w:pPr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id: content_ops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version: 0.1.0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name: 内容运营工作台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default_home: today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navigation: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today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content_pipeline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materials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scripts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review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retrospective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agents: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content_director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trend_researcher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script_writer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quality_reviewer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data_analyst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workflows: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short_video_campaign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daily_content_brief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post_publish_review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artifacts: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content_brief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script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shot_list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review_report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quality_gates: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brand_consistency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factuality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compliance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- format_check</w:t>
            </w:r>
          </w:p>
        </w:tc>
      </w:tr>
    </w:tbl>
    <w:p>
      <w:pPr>
        <w:spacing w:after="0"/>
      </w:pP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/>
          <w:i w:val="0"/>
          <w:color w:val="20262E"/>
          <w:sz w:val="21"/>
        </w:rPr>
        <w:t>关键点：</w:t>
      </w: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Pack 不只是提示词集合。它必须同时声明导航、组件、Agent、流程、交付物、指标和质量门，否则最终仍会退化成“换了人设的聊天机器人”。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6.4 通用运行状态机与人工介入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3F5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sz="4" w:val="single" w:color="CCD2D9"/>
              <w:start w:sz="4" w:val="single" w:color="CCD2D9"/>
              <w:bottom w:sz="4" w:val="single" w:color="CCD2D9"/>
              <w:end w:sz="4" w:val="single" w:color="CCD2D9"/>
            </w:tcBorders>
          </w:tcPr>
          <w:p>
            <w:pPr>
              <w:spacing w:before="0" w:after="10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4A5563"/>
                <w:sz w:val="18"/>
              </w:rPr>
              <w:t>建议状态机</w:t>
            </w:r>
          </w:p>
          <w:p>
            <w:pPr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queued → planning → running → waiting_approval → reviewing → completed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                               ↘ blocked / failed / cancelled</w:t>
            </w:r>
          </w:p>
        </w:tc>
      </w:tr>
    </w:tbl>
    <w:p>
      <w:pPr>
        <w:spacing w:after="0"/>
      </w:pP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每个节点应声明输入、输出、使用工具、预计成本、失败策略和是否需要人工确认。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风险越高，越应从“自动执行”降级为“建议 + 确认”；投放、发布、资金、删除等动作默认设置审批。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监控型 Agent 与执行型 Agent 分离：Monitor 负责持续观察、报警和建议，不直接拥有所有高风险权限。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Run 完成后自动生成复盘，并把经过确认的结论沉淀到项目知识库。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6.5 建议的工程目录（逻辑结构）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3F5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sz="4" w:val="single" w:color="CCD2D9"/>
              <w:start w:sz="4" w:val="single" w:color="CCD2D9"/>
              <w:bottom w:sz="4" w:val="single" w:color="CCD2D9"/>
              <w:end w:sz="4" w:val="single" w:color="CCD2D9"/>
            </w:tcBorders>
          </w:tcPr>
          <w:p>
            <w:pPr>
              <w:spacing w:before="0" w:after="10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4A5563"/>
                <w:sz w:val="18"/>
              </w:rPr>
              <w:t>逻辑目录建议；由 Codex 映射到现有仓库</w:t>
            </w:r>
          </w:p>
          <w:p>
            <w:pPr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/core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/model-gateway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/agent-runtime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/workflow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/artifacts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/knowledge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/observability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/permissions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/packs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/developer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/content-ops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/knowledge-research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/live-ops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/ui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/shell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/widgets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/artifact-renderers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/run-inspector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/command-center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/connectors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/mcp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/documents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/data-sources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 xml:space="preserve">  /publishing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07  首个非开发者 MVP：内容运营工作台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2B776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E9F4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5A55"/>
                <w:sz w:val="22"/>
              </w:rPr>
              <w:t>为什么先做内容运营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它与当前文本生成、研究、文件和多 Worker 能力高度复用；比自动投流更少依赖高风险账户与实时接口；又能明显验证“非开发者是否愿意把工作交给平台”。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7.1 MVP 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69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首版能力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今日工作台</w:t>
            </w:r>
          </w:p>
        </w:tc>
        <w:tc>
          <w:tcPr>
            <w:tcW w:type="dxa" w:w="69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待处理、执行中、待审核、已完成、异常；AI 早报；快捷入口：喂素材、生成脚本、导入草稿、开始复盘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内容流水线</w:t>
            </w:r>
          </w:p>
        </w:tc>
        <w:tc>
          <w:tcPr>
            <w:tcW w:type="dxa" w:w="697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素材 → 选题 → Brief → 脚本 → 分镜 / 拍摄清单 → 审核 → 发布包 → 复盘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素材与知识</w:t>
            </w:r>
          </w:p>
        </w:tc>
        <w:tc>
          <w:tcPr>
            <w:tcW w:type="dxa" w:w="69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品牌资料、产品资料、受众、历史爆款、禁用词、平台规则、竞品研究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脚本编辑器</w:t>
            </w:r>
          </w:p>
        </w:tc>
        <w:tc>
          <w:tcPr>
            <w:tcW w:type="dxa" w:w="697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结构化脚本、版本对比、段落级 AI 改写、引用来源、批注与审查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审核中心</w:t>
            </w:r>
          </w:p>
        </w:tc>
        <w:tc>
          <w:tcPr>
            <w:tcW w:type="dxa" w:w="697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事实、品牌、合规、格式、重复度等 Quality Gate，支持批量通过、退回和人工接管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复盘报告</w:t>
            </w:r>
          </w:p>
        </w:tc>
        <w:tc>
          <w:tcPr>
            <w:tcW w:type="dxa" w:w="6973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结论优先、原因、先改什么、下一次动作、指标对比，并能形成可下载报告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7.2 默认 Agent 阵容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Agent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Content Director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理解目标、生成内容计划、拆解流程、分配 Worker、汇总日报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Trend Researcher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检索趋势、竞品、用户痛点和证据，形成可引用研究卡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Script Writer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根据 Brief 生成多个脚本版本、标题、镜头和口播</w:t>
            </w:r>
          </w:p>
        </w:tc>
      </w:tr>
      <w:tr>
        <w:trPr>
          <w:cantSplit/>
        </w:trPr>
        <w:tc>
          <w:tcPr>
            <w:tcW w:type="dxa" w:w="249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Quality Reviewer</w:t>
            </w:r>
          </w:p>
        </w:tc>
        <w:tc>
          <w:tcPr>
            <w:tcW w:type="dxa" w:w="6746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检查品牌、事实、合规、结构和重复度，提出修改建议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Data Analyst</w:t>
            </w:r>
          </w:p>
        </w:tc>
        <w:tc>
          <w:tcPr>
            <w:tcW w:type="dxa" w:w="67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接收发布后数据，生成复盘、对比与下一轮建议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7.3 一条完整用户路径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用户在通用命令中心输入：“为新品做 3 条短视频，面向刚入行的设计师，下周发布。”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Orchestrator 创建项目和“短视频 Campaign”流程，并展示计划、需要的资料、预计交付物与审批点。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Researcher 读取项目知识与外部资料，形成受众、角度、证据和禁用项；用户确认方向。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Script Writer 生成 3 份脚本与分镜清单；每份都是可编辑 Artifact，而不是聊天消息。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Reviewer 运行事实、品牌、合规和格式检查；系统把问题定位到具体段落。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用户批准后，系统生成“拍摄 / 发布包”；首版可以导出，不强制直接调用平台发布 API。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发布数据导入后，Analyst 生成“先看结论、核心原因、先改什么、下一次动作”的复盘报告。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经用户确认的优秀表达、受众洞察和失败原因自动沉淀到项目知识库，供下一次流程复用。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7.4 MVP 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6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首版必须有</w:t>
            </w:r>
          </w:p>
        </w:tc>
        <w:tc>
          <w:tcPr>
            <w:tcW w:type="dxa" w:w="46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315A8B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首版可以没有</w:t>
            </w:r>
          </w:p>
        </w:tc>
      </w:tr>
      <w:tr>
        <w:trPr>
          <w:cantSplit/>
        </w:trPr>
        <w:tc>
          <w:tcPr>
            <w:tcW w:type="dxa" w:w="46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工作台切换、今日看板、结构化流程、可编辑资产、审批与状态、知识绑定、复盘报告、基础指标</w:t>
            </w:r>
          </w:p>
        </w:tc>
        <w:tc>
          <w:tcPr>
            <w:tcW w:type="dxa" w:w="46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自动直接发布、广告账户资金操作、全媒体素材生成、公开市场、复杂团队计费、覆盖所有职业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A66B2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F8F0E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66B22"/>
                <w:sz w:val="22"/>
              </w:rPr>
              <w:t>验收标准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不是“能不能生成一段脚本”，而是“一个不懂 Agent 架构的运营用户，能否从目标出发，完成一次可追踪、可审核、可复用的内容流程”。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08  迭代路线、指标与风险控制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8.1 建议迭代顺序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主要工作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72434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出关条件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阶段 0：架构盘点</w:t>
            </w:r>
          </w:p>
        </w:tc>
        <w:tc>
          <w:tcPr>
            <w:tcW w:type="dxa" w:w="4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梳理现有 Worker、任务、项目、文件、权限、工具与模型接口；形成 ADR 和迁移图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不改用户行为，只建立共识</w:t>
            </w:r>
          </w:p>
        </w:tc>
      </w:tr>
      <w:tr>
        <w:trPr>
          <w:cantSplit/>
        </w:trPr>
        <w:tc>
          <w:tcPr>
            <w:tcW w:type="dxa" w:w="198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阶段 1：平台化基础</w:t>
            </w:r>
          </w:p>
        </w:tc>
        <w:tc>
          <w:tcPr>
            <w:tcW w:type="dxa" w:w="498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Workbench Pack 接口、Pack Registry、工作台切换、统一 Project / Run / Artifact / Knowledge 模型、Feature Flag</w:t>
            </w:r>
          </w:p>
        </w:tc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现有 developer 模式完整运行在 Pack 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阶段 2：内容运营 MVP</w:t>
            </w:r>
          </w:p>
        </w:tc>
        <w:tc>
          <w:tcPr>
            <w:tcW w:type="dxa" w:w="4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通用 Widget、流程看板、脚本 Artifact、审核卡、AI 早报、复盘报告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首批非开发用户完成端到端流程</w:t>
            </w:r>
          </w:p>
        </w:tc>
      </w:tr>
      <w:tr>
        <w:trPr>
          <w:cantSplit/>
        </w:trPr>
        <w:tc>
          <w:tcPr>
            <w:tcW w:type="dxa" w:w="198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阶段 3：持久 Agent 与知识闭环</w:t>
            </w:r>
          </w:p>
        </w:tc>
        <w:tc>
          <w:tcPr>
            <w:tcW w:type="dxa" w:w="4989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Agent 收件箱、定时任务、监控、知识沉淀、有效期与引用</w:t>
            </w:r>
          </w:p>
        </w:tc>
        <w:tc>
          <w:tcPr>
            <w:tcW w:type="dxa" w:w="226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平台开始“越用越懂项目”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阶段 4：更多 Pack 与生态</w:t>
            </w:r>
          </w:p>
        </w:tc>
        <w:tc>
          <w:tcPr>
            <w:tcW w:type="dxa" w:w="498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知识研究、直播运营、连接器市场、第三方 Pack、版本与权限治理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在一个成功 Pack 后再扩大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8.2 不要只看对话次数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指标维度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1E5A55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建议观察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激活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用户是否选择工作台、连接数据或导入资料，并完成第一个 Workflow</w:t>
            </w:r>
          </w:p>
        </w:tc>
      </w:tr>
      <w:tr>
        <w:trPr>
          <w:cantSplit/>
        </w:trPr>
        <w:tc>
          <w:tcPr>
            <w:tcW w:type="dxa" w:w="232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首次价值时间</w:t>
            </w:r>
          </w:p>
        </w:tc>
        <w:tc>
          <w:tcPr>
            <w:tcW w:type="dxa" w:w="691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从进入产品到第一个被用户接受的 Artifact 所需时间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流程完成率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Run 是否完成；在哪个节点失败、等待或被人工接管</w:t>
            </w:r>
          </w:p>
        </w:tc>
      </w:tr>
      <w:tr>
        <w:trPr>
          <w:cantSplit/>
        </w:trPr>
        <w:tc>
          <w:tcPr>
            <w:tcW w:type="dxa" w:w="232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质量</w:t>
            </w:r>
          </w:p>
        </w:tc>
        <w:tc>
          <w:tcPr>
            <w:tcW w:type="dxa" w:w="691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一次审批通过率、返工轮数、Reviewer 拦截的问题类型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复用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Artifact 模板复用率、知识命中率、重复任务自动化率</w:t>
            </w:r>
          </w:p>
        </w:tc>
      </w:tr>
      <w:tr>
        <w:trPr>
          <w:cantSplit/>
        </w:trPr>
        <w:tc>
          <w:tcPr>
            <w:tcW w:type="dxa" w:w="232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信任</w:t>
            </w:r>
          </w:p>
        </w:tc>
        <w:tc>
          <w:tcPr>
            <w:tcW w:type="dxa" w:w="691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用户查看运行详情、修改计划、使用暂停 / 回滚的频率与成功率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留存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按 Workbench Pack 分析周留存，而不是只看总 DAU</w:t>
            </w:r>
          </w:p>
        </w:tc>
      </w:tr>
      <w:tr>
        <w:trPr>
          <w:cantSplit/>
        </w:trPr>
        <w:tc>
          <w:tcPr>
            <w:tcW w:type="dxa" w:w="2324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成本</w:t>
            </w:r>
          </w:p>
        </w:tc>
        <w:tc>
          <w:tcPr>
            <w:tcW w:type="dxa" w:w="6917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8"/>
              </w:rPr>
              <w:t>每个被接受交付物的模型、工具与人工成本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8.3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后果</w:t>
            </w:r>
          </w:p>
        </w:tc>
        <w:tc>
          <w:tcPr>
            <w:tcW w:type="dxa" w:w="45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  <w:shd w:fill="7B4157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建议控制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角色只是换提示词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用户看不到职业化价值</w:t>
            </w:r>
          </w:p>
        </w:tc>
        <w:tc>
          <w:tcPr>
            <w:tcW w:type="dxa" w:w="45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Pack 必须同时包含 UI、Workflow、Artifact、Metric、Quality Gate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菜单爆炸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所有职业功能同时出现，产品变得混乱</w:t>
            </w:r>
          </w:p>
        </w:tc>
        <w:tc>
          <w:tcPr>
            <w:tcW w:type="dxa" w:w="453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全局导航稳定；专业菜单只在当前 Pack 中显示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Worker 数量失控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成本高、职责重叠、调度不可解释</w:t>
            </w:r>
          </w:p>
        </w:tc>
        <w:tc>
          <w:tcPr>
            <w:tcW w:type="dxa" w:w="45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能力注册、职责边界、路由规则、并发预算和 Reviewer 机制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自动化黑盒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用户不敢交付高价值任务</w:t>
            </w:r>
          </w:p>
        </w:tc>
        <w:tc>
          <w:tcPr>
            <w:tcW w:type="dxa" w:w="453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计划可见、依据可查、审批、日志、异常、回滚和权限最小化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模型锁定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模型升级或替换导致上层大改</w:t>
            </w:r>
          </w:p>
        </w:tc>
        <w:tc>
          <w:tcPr>
            <w:tcW w:type="dxa" w:w="45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Model Gateway + 统一结构化输出 / Tool Calling 适配层</w:t>
            </w:r>
          </w:p>
        </w:tc>
      </w:tr>
      <w:tr>
        <w:trPr>
          <w:cantSplit/>
        </w:trPr>
        <w:tc>
          <w:tcPr>
            <w:tcW w:type="dxa" w:w="209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知识污染</w:t>
            </w:r>
          </w:p>
        </w:tc>
        <w:tc>
          <w:tcPr>
            <w:tcW w:type="dxa" w:w="2608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错误信息长期复用</w:t>
            </w:r>
          </w:p>
        </w:tc>
        <w:tc>
          <w:tcPr>
            <w:tcW w:type="dxa" w:w="4535"/>
            <w:shd w:fill="F5F7F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来源、有效期、权限、人工确认、版本和引用追踪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过早做市场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生态表面繁荣但质量和兼容性失控</w:t>
            </w:r>
          </w:p>
        </w:tc>
        <w:tc>
          <w:tcPr>
            <w:tcW w:type="dxa" w:w="45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4E8EC"/>
              <w:start w:sz="4" w:val="single" w:color="E4E8EC"/>
              <w:bottom w:sz="4" w:val="single" w:color="E4E8EC"/>
              <w:end w:sz="4" w:val="single" w:color="E4E8E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7"/>
              </w:rPr>
              <w:t>先稳定 Pack Contract、权限、版本、测试和审核制度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8.4 明确不做的事情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不把“运营模式”直接写死进现有主界面。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不为每个职业复制一套 Agent Runtime、知识库和权限系统。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不把所有输出都留在聊天记录里。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不让高风险连接器默认拥有自动执行权限。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不在第一个 Pack 尚未验证前承诺覆盖所有职业。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不要求 Codex 一次提交完成全量重构。</w:t>
      </w: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09  可直接交给 Codex 的实施 Brief</w:t>
      </w: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下面这段可以作为 Codex 的首轮任务说明。建议先让它盘点仓库并输出设计文档，再开始修改代码。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3F5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sz="4" w:val="single" w:color="CCD2D9"/>
              <w:start w:sz="4" w:val="single" w:color="CCD2D9"/>
              <w:bottom w:sz="4" w:val="single" w:color="CCD2D9"/>
              <w:end w:sz="4" w:val="single" w:color="CCD2D9"/>
            </w:tcBorders>
          </w:tcPr>
          <w:p>
            <w:pPr>
              <w:spacing w:before="0" w:after="100" w:line="26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4A5563"/>
                <w:sz w:val="18"/>
              </w:rPr>
              <w:t>Codex 首轮执行指令（可复制）</w:t>
            </w:r>
          </w:p>
          <w:p>
            <w:pPr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目标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在不破坏现有开发者工作流的前提下，把当前 Codex 式多 Worker 产品演进为：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“统一平台 + 可插拔专业工作台（Workbench Pack）”。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已知前提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当前产品以 Codex 的交互和功能为主要参考。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已有多 Worker、任务状态和执行可视化能力。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当前大模型通过 DeepSeek V4 提供能力。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第一个新增的非开发者工作台选择“内容运营”。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约束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1. 不做 Big Bang 重构；所有变化必须可分阶段、可回滚、可 Feature Flag。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2. 保留现有 developer 模式，并将其迁移为 developer-pack。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3. Workbench Pack 不能只是 prompt；必须可声明导航、Widget、Agent、Workflow、Artifact、Metric、Quality Gate 和权限。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4. 先抽象通用 Project / Run / Task / Artifact / Knowledge / Approval / Metric 模型。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5. 模型调用必须经过 Model Gateway，避免业务层直接依赖 DeepSeek V4 的专有格式。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6. 高风险动作必须支持审批、暂停、接管、重试、回滚和审计。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第一轮只输出，不修改代码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A. 仓库架构盘点：现有模块、依赖、数据模型、路由、状态管理、Agent/Worker 运行方式。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B. Gap Analysis：把现有模块映射到 Core、Pack Runtime、Workflow、Artifact、Knowledge、Observability。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C. ADR：Workbench Pack Contract、核心数据模型、迁移策略、Feature Flag 方案。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D. 分 PR 实施计划：每个 PR 的目标、文件范围、数据迁移、测试、回滚方式和验收标准。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建议 PR 顺序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1. 定义核心 Type / Schema 与 Pack Contract，不改 UI。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2. 将现有开发模式注册为 developer-pack，行为保持不变。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3. 实现 Pack Registry、Role Switcher 与权限校验。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4. 实现通用 Widget、Workflow Board、Run Inspector、Artifact Viewer / Editor。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5. 实现 content-ops-pack：Today、Pipeline、Materials、Scripts、Review、Retrospective。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6. 加入知识绑定、审批、事件与指标采集。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7. 端到端测试、兼容性测试和渐进式发布。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验收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旧开发流程无回归。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用户可在同一项目中切换 developer 与 content-ops 工作台。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内容运营流程能从意图生成结构化 Run，并产出可编辑、可审核、可版本化 Artifact。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每个 Run 可查看计划、Worker 状态、工具调用、审批、失败、重试和最终复盘。</w:t>
              <w:br/>
            </w:r>
            <w:r>
              <w:rPr>
                <w:rFonts w:ascii="Noto Sans Mono CJK SC" w:hAnsi="Noto Sans Mono CJK SC" w:eastAsia="Noto Sans Mono CJK SC"/>
                <w:color w:val="20262E"/>
                <w:sz w:val="16"/>
              </w:rPr>
              <w:t>- 新增 Pack 不需要修改 Core 的职业专属逻辑。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9.1 Codex 输出后需要重点检查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是否把职业专属代码硬编码进 Core，而不是通过 Pack Contract 注入。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是否只是新增 prompt / persona，却没有 Workflow、Artifact 和 Widget。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是否能让现有 developer 模式无行为变化地运行。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是否有统一状态机、审批点、错误处理、重试、回滚和审计。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是否把模型厂商协议隔离在 Model Gateway。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是否为每个新数据对象设计了权限、租户边界、版本和迁移。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是否给出了可分 PR 的最小改动路径，而非一次性重写。</w:t>
      </w:r>
    </w:p>
    <w:p>
      <w:pPr>
        <w:pStyle w:val="要点"/>
        <w:spacing w:before="0" w:after="80" w:line="300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B776F"/>
          <w:sz w:val="22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是否有端到端用户路径测试，而不只是单元测试。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9.2 推荐的第一个技术决策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9A3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FBEA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9A3244"/>
                <w:sz w:val="22"/>
              </w:rPr>
              <w:t>先做 developer-pack 迁移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20"/>
              </w:rPr>
              <w:t>只有当现有开发模式能作为一个 Pack 无回归运行，才能证明平台边界抽象正确。不要直接从 content-ops 开始堆页面，否则很容易形成第二套硬编码产品。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9.3 产品团队仍需决定的五个问题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首批目标用户是个人运营、企业运营团队，还是代理服务商？这决定权限、协作和计费。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首个内容运营场景聚焦短视频、图文、直播，还是跨平台 Campaign？建议只选一个主流程。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哪些外部连接器首版必须接入，哪些只做导入 / 导出？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知识沉淀默认自动还是人工确认？错误知识如何过期和撤销？</w:t>
      </w:r>
    </w:p>
    <w:p>
      <w:pPr>
        <w:pStyle w:val="要点"/>
        <w:spacing w:before="0" w:after="80" w:line="312" w:lineRule="auto"/>
        <w:ind w:left="369" w:hanging="295"/>
      </w:pPr>
      <w:r>
        <w:rPr>
          <w:rFonts w:ascii="Noto Sans CJK SC" w:hAnsi="Noto Sans CJK SC" w:eastAsia="Noto Sans CJK SC"/>
          <w:b/>
          <w:i w:val="0"/>
          <w:color w:val="7B415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商业化按席位、Pack、自动化运行量、连接器还是模型额度组合？</w:t>
      </w:r>
    </w:p>
    <w:p>
      <w:r>
        <w:br w:type="page"/>
      </w:r>
    </w:p>
    <w:p>
      <w:pPr>
        <w:pStyle w:val="Heading1"/>
        <w:keepNext/>
        <w:spacing w:before="40" w:after="140"/>
        <w:pBdr>
          <w:bottom w:val="single" w:sz="12" w:space="4" w:color="2B776F"/>
        </w:pBdr>
      </w:pPr>
      <w:r>
        <w:rPr>
          <w:rFonts w:ascii="Noto Sans CJK SC" w:hAnsi="Noto Sans CJK SC" w:eastAsia="Noto Sans CJK SC"/>
          <w:b/>
          <w:color w:val="172434"/>
          <w:sz w:val="40"/>
        </w:rPr>
        <w:t>附录 A  案例截图与设计模式索引</w:t>
      </w:r>
    </w:p>
    <w:p>
      <w:pPr>
        <w:pStyle w:val="正文"/>
        <w:spacing w:before="0" w:after="100" w:line="324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以下截图均由用户提供，用于内部产品分析。本文没有建议照搬其视觉，而是提炼可迁移的工作流、控制、资产和知识设计。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180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s_vertic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8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7"/>
        </w:rPr>
        <w:t>A-1  垂直业务系统：内容生产、投流监控、直播复盘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758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s_desk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5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7"/>
        </w:rPr>
        <w:t>A-2  通用 AI 入口、知识库、笔记与生态发现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/>
          <w:color w:val="1E5A55"/>
          <w:sz w:val="27"/>
        </w:rPr>
        <w:t>A.1 最终产品设计公式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rPr>
          <w:cantSplit/>
        </w:trPr>
        <w:tc>
          <w:tcPr>
            <w:tcW w:type="dxa" w:w="125"/>
            <w:shd w:fill="7B415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4"/>
            <w:shd w:fill="17243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AI Work OS =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FFFFFF"/>
                <w:sz w:val="20"/>
              </w:rPr>
              <w:t>通用 Shell + 专业 Workbench Pack + Workflow Orchestrator + 可见可控的 Agent Runtime + 可版本化 Artifact + 有边界的 Knowledge + Tools / Connectors + Observability / Governance</w:t>
            </w:r>
          </w:p>
        </w:tc>
      </w:tr>
    </w:tbl>
    <w:p>
      <w:pPr>
        <w:spacing w:after="0"/>
      </w:pPr>
    </w:p>
    <w:p>
      <w:pPr>
        <w:spacing w:before="400" w:after="8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77808C"/>
          <w:sz w:val="18"/>
        </w:rPr>
        <w:t>—— 文档结束 ——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964" w:right="1020" w:bottom="907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54"/>
      <w:gridCol w:w="2154"/>
    </w:tblGrid>
    <w:tr>
      <w:tc>
        <w:tcPr>
          <w:tcW w:type="dxa" w:w="4904"/>
          <w:tcBorders>
            <w:top w:val="nil"/>
            <w:start w:val="nil"/>
            <w:bottom w:val="nil"/>
            <w:end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/>
          <w:r>
            <w:rPr>
              <w:rFonts w:ascii="Noto Sans CJK SC" w:hAnsi="Noto Sans CJK SC" w:eastAsia="Noto Sans CJK SC"/>
              <w:b w:val="0"/>
              <w:i w:val="0"/>
              <w:color w:val="77808C"/>
              <w:sz w:val="15"/>
            </w:rPr>
            <w:t>内部讨论稿 · 2026-07-17 · 基于用户提供的 7 张案例截图与项目讨论</w:t>
          </w:r>
        </w:p>
      </w:tc>
      <w:tc>
        <w:tcPr>
          <w:tcW w:type="dxa" w:w="4904"/>
          <w:tcBorders>
            <w:top w:val="nil"/>
            <w:start w:val="nil"/>
            <w:bottom w:val="nil"/>
            <w:end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/>
          <w:r>
            <w:rPr>
              <w:rFonts w:ascii="Noto Sans CJK SC" w:hAnsi="Noto Sans CJK SC" w:eastAsia="Noto Sans CJK SC"/>
              <w:color w:val="77808C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4E8EC"/>
      </w:pBdr>
    </w:pPr>
    <w:r/>
    <w:r>
      <w:rPr>
        <w:rFonts w:ascii="Noto Sans CJK SC" w:hAnsi="Noto Sans CJK SC" w:eastAsia="Noto Sans CJK SC"/>
        <w:b w:val="0"/>
        <w:i w:val="0"/>
        <w:color w:val="77808C"/>
        <w:sz w:val="16"/>
      </w:rPr>
      <w:t>多角色 AI 工作平台 · 产品演进建议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4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5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B41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4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A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</w:style>
  <w:style w:type="paragraph" w:customStyle="1" w:styleId="要点">
    <w:name w:val="要点"/>
    <w:basedOn w:val="Normal"/>
  </w:style>
  <w:style w:type="paragraph" w:customStyle="1" w:styleId="小字">
    <w:name w:val="小字"/>
    <w:basedOn w:val="Normal"/>
    <w:rPr>
      <w:color w:val="77808C"/>
      <w:sz w:val="17"/>
    </w:rPr>
  </w:style>
  <w:style w:type="paragraph" w:customStyle="1" w:styleId="代码">
    <w:name w:val="代码"/>
    <w:basedOn w:val="Normal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Codex 式开发 Agent 到多职业 AI 工作平台：产品演进建议</dc:title>
  <dc:subject>多角色 AI 工作平台产品策略与实施 Brief</dc:subject>
  <dc:creator>OpenAI</dc:creator>
  <cp:keywords>AI Agent, Codex, Worker, Workbench Pack, 产品架构, 内容运营</cp:keywords>
  <dc:description>基于用户提供的案例截图与对话讨论整理。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